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60"/>
        <w:shd w:fill="FFD9D4"/>
      </w:pPr>
      <w:r>
        <w:rPr>
          <w:rFonts w:ascii="Arial" w:hAnsi="Arial"/>
          <w:b/>
          <w:color w:val="102A43"/>
          <w:sz w:val="17"/>
        </w:rPr>
        <w:t>EDITABLE TEMPLATE  ·  CLINICAL REVIEW REQUIRED BEFORE USE</w:t>
      </w:r>
    </w:p>
    <w:p>
      <w:pPr>
        <w:spacing w:before="0" w:after="80"/>
      </w:pPr>
      <w:r>
        <w:rPr>
          <w:rFonts w:ascii="Georgia" w:hAnsi="Georgia"/>
          <w:b/>
          <w:color w:val="102A43"/>
          <w:sz w:val="46"/>
        </w:rPr>
        <w:t>Signs to notice and when to act</w:t>
      </w:r>
    </w:p>
    <w:p>
      <w:pPr>
        <w:spacing w:after="200"/>
      </w:pPr>
      <w:r>
        <w:rPr>
          <w:rFonts w:ascii="Arial" w:hAnsi="Arial"/>
          <w:b/>
          <w:color w:val="4F77FF"/>
          <w:sz w:val="17"/>
        </w:rPr>
        <w:t>INTENDED USE: PATIENT &amp; FAMILY HANDOUT</w:t>
      </w:r>
    </w:p>
    <w:p>
      <w:pPr>
        <w:spacing w:after="240"/>
      </w:pPr>
      <w:r>
        <w:rPr>
          <w:rFonts w:ascii="Arial" w:hAnsi="Arial"/>
          <w:i/>
          <w:color w:val="334E68"/>
          <w:sz w:val="23"/>
        </w:rPr>
        <w:t>To help families notice a change from the person's usual self and act promptly.</w:t>
      </w:r>
    </w:p>
    <w:tbl>
      <w:tblPr>
        <w:tblStyle w:val="TableGrid"/>
        <w:tblW w:type="dxa" w:w="9920"/>
        <w:jc w:val="left"/>
        <w:tblLayout w:type="fixed"/>
        <w:tblLook w:firstColumn="1" w:firstRow="1" w:lastColumn="0" w:lastRow="0" w:noHBand="0" w:noVBand="1" w:val="04A0"/>
        <w:tblInd w:w="120" w:type="dxa"/>
      </w:tblPr>
      <w:tblGrid>
        <w:gridCol w:w="2500"/>
        <w:gridCol w:w="7420"/>
      </w:tblGrid>
      <w:tr>
        <w:trPr>
          <w:tblHeader w:val="true"/>
        </w:trPr>
        <w:tc>
          <w:tcPr>
            <w:tcW w:type="dxa" w:w="9920"/>
            <w:gridSpan w:val="2"/>
            <w:tcMar>
              <w:top w:w="100" w:type="dxa"/>
              <w:start w:w="120" w:type="dxa"/>
              <w:bottom w:w="100" w:type="dxa"/>
              <w:end w:w="120" w:type="dxa"/>
            </w:tcMar>
            <w:shd w:fill="C9F45B"/>
            <w:vAlign w:val="center"/>
          </w:tcPr>
          <w:p>
            <w:r>
              <w:rPr>
                <w:rFonts w:ascii="Arial" w:hAnsi="Arial"/>
                <w:b/>
                <w:color w:val="102A43"/>
                <w:sz w:val="18"/>
              </w:rPr>
              <w:t>LOCAL ADAPTATION FIELDS - replace highlighted text before use</w:t>
            </w:r>
          </w:p>
        </w:tc>
      </w:tr>
      <w:tr>
        <w:tc>
          <w:tcPr>
            <w:tcW w:type="dxa" w:w="2500"/>
            <w:tcMar>
              <w:top w:w="100" w:type="dxa"/>
              <w:start w:w="120" w:type="dxa"/>
              <w:bottom w:w="100" w:type="dxa"/>
              <w:end w:w="120" w:type="dxa"/>
            </w:tcMar>
            <w:vAlign w:val="center"/>
            <w:shd w:fill="EEF2F5"/>
          </w:tcPr>
          <w:p>
            <w:r>
              <w:rPr>
                <w:rFonts w:ascii="Arial" w:hAnsi="Arial"/>
                <w:b/>
                <w:color w:val="102A43"/>
                <w:sz w:val="18"/>
              </w:rPr>
              <w:t>Organisation / service</w:t>
            </w:r>
          </w:p>
        </w:tc>
        <w:tc>
          <w:tcPr>
            <w:tcW w:type="dxa" w:w="7420"/>
            <w:tcMar>
              <w:top w:w="100" w:type="dxa"/>
              <w:start w:w="120" w:type="dxa"/>
              <w:bottom w:w="100" w:type="dxa"/>
              <w:end w:w="120" w:type="dxa"/>
            </w:tcMar>
            <w:vAlign w:val="center"/>
            <w:shd w:fill="FFFDF8"/>
          </w:tcPr>
          <w:p>
            <w:r>
              <w:rPr>
                <w:rFonts w:ascii="Arial" w:hAnsi="Arial"/>
                <w:i/>
                <w:color w:val="334E68"/>
                <w:sz w:val="18"/>
              </w:rPr>
              <w:t>[ADD LOCAL NAME OR LOGO]</w:t>
            </w:r>
          </w:p>
        </w:tc>
      </w:tr>
      <w:tr>
        <w:tc>
          <w:tcPr>
            <w:tcW w:type="dxa" w:w="2500"/>
            <w:tcMar>
              <w:top w:w="100" w:type="dxa"/>
              <w:start w:w="120" w:type="dxa"/>
              <w:bottom w:w="100" w:type="dxa"/>
              <w:end w:w="120" w:type="dxa"/>
            </w:tcMar>
            <w:vAlign w:val="center"/>
            <w:shd w:fill="EEF2F5"/>
          </w:tcPr>
          <w:p>
            <w:r>
              <w:rPr>
                <w:rFonts w:ascii="Arial" w:hAnsi="Arial"/>
                <w:b/>
                <w:color w:val="102A43"/>
                <w:sz w:val="18"/>
              </w:rPr>
              <w:t>Clinical lead / owner</w:t>
            </w:r>
          </w:p>
        </w:tc>
        <w:tc>
          <w:tcPr>
            <w:tcW w:type="dxa" w:w="7420"/>
            <w:tcMar>
              <w:top w:w="100" w:type="dxa"/>
              <w:start w:w="120" w:type="dxa"/>
              <w:bottom w:w="100" w:type="dxa"/>
              <w:end w:w="120" w:type="dxa"/>
            </w:tcMar>
            <w:vAlign w:val="center"/>
            <w:shd w:fill="FFFDF8"/>
          </w:tcPr>
          <w:p>
            <w:r>
              <w:rPr>
                <w:rFonts w:ascii="Arial" w:hAnsi="Arial"/>
                <w:i/>
                <w:color w:val="334E68"/>
                <w:sz w:val="18"/>
              </w:rPr>
              <w:t>[ADD NAME, ROLE AND CONTACT]</w:t>
            </w:r>
          </w:p>
        </w:tc>
      </w:tr>
      <w:tr>
        <w:tc>
          <w:tcPr>
            <w:tcW w:type="dxa" w:w="2500"/>
            <w:tcMar>
              <w:top w:w="100" w:type="dxa"/>
              <w:start w:w="120" w:type="dxa"/>
              <w:bottom w:w="100" w:type="dxa"/>
              <w:end w:w="120" w:type="dxa"/>
            </w:tcMar>
            <w:vAlign w:val="center"/>
            <w:shd w:fill="EEF2F5"/>
          </w:tcPr>
          <w:p>
            <w:r>
              <w:rPr>
                <w:rFonts w:ascii="Arial" w:hAnsi="Arial"/>
                <w:b/>
                <w:color w:val="102A43"/>
                <w:sz w:val="18"/>
              </w:rPr>
              <w:t>Escalation or referral route</w:t>
            </w:r>
          </w:p>
        </w:tc>
        <w:tc>
          <w:tcPr>
            <w:tcW w:type="dxa" w:w="7420"/>
            <w:tcMar>
              <w:top w:w="100" w:type="dxa"/>
              <w:start w:w="120" w:type="dxa"/>
              <w:bottom w:w="100" w:type="dxa"/>
              <w:end w:w="120" w:type="dxa"/>
            </w:tcMar>
            <w:vAlign w:val="center"/>
            <w:shd w:fill="FFFDF8"/>
          </w:tcPr>
          <w:p>
            <w:r>
              <w:rPr>
                <w:rFonts w:ascii="Arial" w:hAnsi="Arial"/>
                <w:i/>
                <w:color w:val="334E68"/>
                <w:sz w:val="18"/>
              </w:rPr>
              <w:t>[ADD LOCAL ROUTE AND TELEPHONE / BLEEP DETAILS]</w:t>
            </w:r>
          </w:p>
        </w:tc>
      </w:tr>
      <w:tr>
        <w:tc>
          <w:tcPr>
            <w:tcW w:type="dxa" w:w="2500"/>
            <w:tcMar>
              <w:top w:w="100" w:type="dxa"/>
              <w:start w:w="120" w:type="dxa"/>
              <w:bottom w:w="100" w:type="dxa"/>
              <w:end w:w="120" w:type="dxa"/>
            </w:tcMar>
            <w:vAlign w:val="center"/>
            <w:shd w:fill="EEF2F5"/>
          </w:tcPr>
          <w:p>
            <w:r>
              <w:rPr>
                <w:rFonts w:ascii="Arial" w:hAnsi="Arial"/>
                <w:b/>
                <w:color w:val="102A43"/>
                <w:sz w:val="18"/>
              </w:rPr>
              <w:t>Local policy / review note</w:t>
            </w:r>
          </w:p>
        </w:tc>
        <w:tc>
          <w:tcPr>
            <w:tcW w:type="dxa" w:w="7420"/>
            <w:tcMar>
              <w:top w:w="100" w:type="dxa"/>
              <w:start w:w="120" w:type="dxa"/>
              <w:bottom w:w="100" w:type="dxa"/>
              <w:end w:w="120" w:type="dxa"/>
            </w:tcMar>
            <w:vAlign w:val="center"/>
            <w:shd w:fill="FFFDF8"/>
          </w:tcPr>
          <w:p>
            <w:r>
              <w:rPr>
                <w:rFonts w:ascii="Arial" w:hAnsi="Arial"/>
                <w:i/>
                <w:color w:val="334E68"/>
                <w:sz w:val="18"/>
              </w:rPr>
              <w:t>[ADD POLICY LINK, FORMULARY NOTE OR NEXT REVIEW DATE]</w:t>
            </w:r>
          </w:p>
        </w:tc>
      </w:tr>
    </w:tbl>
    <w:p>
      <w:pPr>
        <w:spacing w:after="80"/>
      </w:pPr>
    </w:p>
    <w:p>
      <w:pPr>
        <w:pStyle w:val="Heading2"/>
        <w:keepNext/>
      </w:pPr>
      <w:r>
        <w:t>Look for a change from usual</w:t>
      </w:r>
    </w:p>
    <w:p>
      <w:r>
        <w:rPr>
          <w:rFonts w:ascii="Arial" w:hAnsi="Arial"/>
        </w:rPr>
        <w:t>Relatives and close friends often notice first that something is different. Think about how the person normally talks, pays attention, moves, sleeps and manages everyday tasks.</w:t>
      </w:r>
    </w:p>
    <w:p>
      <w:pPr>
        <w:pStyle w:val="Heading2"/>
        <w:keepNext/>
      </w:pPr>
      <w:r>
        <w:t>Changes in thinking or attention</w:t>
      </w:r>
    </w:p>
    <w:p>
      <w:pPr>
        <w:pStyle w:val="ListBullet"/>
      </w:pPr>
      <w:r>
        <w:rPr>
          <w:rFonts w:ascii="Arial" w:hAnsi="Arial"/>
        </w:rPr>
        <w:t>Losing the thread of a conversation or being easily distracted</w:t>
      </w:r>
    </w:p>
    <w:p>
      <w:pPr>
        <w:pStyle w:val="ListBullet"/>
      </w:pPr>
      <w:r>
        <w:rPr>
          <w:rFonts w:ascii="Arial" w:hAnsi="Arial"/>
        </w:rPr>
        <w:t>Slow, muddled or unclear answers</w:t>
      </w:r>
    </w:p>
    <w:p>
      <w:pPr>
        <w:pStyle w:val="ListBullet"/>
      </w:pPr>
      <w:r>
        <w:rPr>
          <w:rFonts w:ascii="Arial" w:hAnsi="Arial"/>
        </w:rPr>
        <w:t>Not knowing where they are or what is happening</w:t>
      </w:r>
    </w:p>
    <w:p>
      <w:pPr>
        <w:pStyle w:val="ListBullet"/>
      </w:pPr>
      <w:r>
        <w:rPr>
          <w:rFonts w:ascii="Arial" w:hAnsi="Arial"/>
        </w:rPr>
        <w:t>New difficulty remembering recent events</w:t>
      </w:r>
    </w:p>
    <w:p>
      <w:pPr>
        <w:pStyle w:val="Heading2"/>
        <w:keepNext/>
      </w:pPr>
      <w:r>
        <w:t>Changes in alertness, behaviour or perception</w:t>
      </w:r>
    </w:p>
    <w:p>
      <w:pPr>
        <w:pStyle w:val="ListBullet"/>
      </w:pPr>
      <w:r>
        <w:rPr>
          <w:rFonts w:ascii="Arial" w:hAnsi="Arial"/>
        </w:rPr>
        <w:t>New sleepiness, withdrawal, reduced movement or poor response</w:t>
      </w:r>
    </w:p>
    <w:p>
      <w:pPr>
        <w:pStyle w:val="ListBullet"/>
      </w:pPr>
      <w:r>
        <w:rPr>
          <w:rFonts w:ascii="Arial" w:hAnsi="Arial"/>
        </w:rPr>
        <w:t>New restlessness, agitation, fear or suspiciousness</w:t>
      </w:r>
    </w:p>
    <w:p>
      <w:pPr>
        <w:pStyle w:val="ListBullet"/>
      </w:pPr>
      <w:r>
        <w:rPr>
          <w:rFonts w:ascii="Arial" w:hAnsi="Arial"/>
        </w:rPr>
        <w:t>Seeing or hearing things that others do not</w:t>
      </w:r>
    </w:p>
    <w:p>
      <w:pPr>
        <w:pStyle w:val="ListBullet"/>
      </w:pPr>
      <w:r>
        <w:rPr>
          <w:rFonts w:ascii="Arial" w:hAnsi="Arial"/>
        </w:rPr>
        <w:t>A changed sleep pattern or symptoms that come and go</w:t>
      </w:r>
    </w:p>
    <w:p>
      <w:pPr>
        <w:pStyle w:val="Heading2"/>
        <w:keepNext/>
      </w:pPr>
      <w:r>
        <w:t>What to do while help is coming</w:t>
      </w:r>
    </w:p>
    <w:p>
      <w:pPr>
        <w:pStyle w:val="ListBullet"/>
      </w:pPr>
      <w:r>
        <w:rPr>
          <w:rFonts w:ascii="Arial" w:hAnsi="Arial"/>
        </w:rPr>
        <w:t>Stay with the person if it is safe to do so.</w:t>
      </w:r>
    </w:p>
    <w:p>
      <w:pPr>
        <w:pStyle w:val="ListBullet"/>
      </w:pPr>
      <w:r>
        <w:rPr>
          <w:rFonts w:ascii="Arial" w:hAnsi="Arial"/>
        </w:rPr>
        <w:t>Say who you are and where they are. Reassure them in a calm voice.</w:t>
      </w:r>
    </w:p>
    <w:p>
      <w:pPr>
        <w:pStyle w:val="ListBullet"/>
      </w:pPr>
      <w:r>
        <w:rPr>
          <w:rFonts w:ascii="Arial" w:hAnsi="Arial"/>
        </w:rPr>
        <w:t>Use short, simple sentences. Avoid repeated questions or arguing.</w:t>
      </w:r>
    </w:p>
    <w:p>
      <w:pPr>
        <w:pStyle w:val="ListBullet"/>
      </w:pPr>
      <w:r>
        <w:rPr>
          <w:rFonts w:ascii="Arial" w:hAnsi="Arial"/>
        </w:rPr>
        <w:t>Gather an up-to-date medicines list and note when the change began.</w:t>
      </w:r>
    </w:p>
    <w:p>
      <w:pPr>
        <w:spacing w:before="80" w:after="140"/>
        <w:ind w:left="120" w:right="120"/>
        <w:shd w:fill="FFD9D4"/>
        <w:pBdr>
          <w:top w:val="single" w:sz="10" w:space="5" w:color="102A43"/>
          <w:left w:val="single" w:sz="10" w:space="5" w:color="102A43"/>
          <w:bottom w:val="single" w:sz="10" w:space="5" w:color="102A43"/>
          <w:right w:val="single" w:sz="10" w:space="5" w:color="102A43"/>
        </w:pBdr>
      </w:pPr>
      <w:r>
        <w:rPr>
          <w:rFonts w:ascii="Arial" w:hAnsi="Arial"/>
          <w:b/>
          <w:color w:val="102A43"/>
          <w:sz w:val="21"/>
        </w:rPr>
        <w:t>Urgent action</w:t>
      </w:r>
      <w:r>
        <w:rPr>
          <w:rFonts w:ascii="Arial" w:hAnsi="Arial"/>
          <w:color w:val="102A43"/>
          <w:sz w:val="21"/>
        </w:rPr>
        <w:t xml:space="preserve"> In the UK, call 999 or go to A&amp;E now for new, sudden confusion. Do not drive yourself to A&amp;E. Tell hospital or care-home staff immediately if the person is already in their care. Outside the UK, call your local emergency number or use your local emergency service.</w:t>
      </w:r>
    </w:p>
    <w:p>
      <w:pPr>
        <w:pStyle w:val="Heading2"/>
        <w:keepNext/>
      </w:pPr>
      <w:r>
        <w:t>Verified sources</w:t>
      </w:r>
    </w:p>
    <w:p>
      <w:pPr>
        <w:pStyle w:val="ListBullet"/>
        <w:spacing w:after="40"/>
      </w:pPr>
      <w:hyperlink r:id="rId11">
        <w:r>
          <w:rPr>
            <w:color w:val="244FC5"/>
            <w:u w:val="single"/>
          </w:rPr>
          <w:t>NHS: Sudden confusion (delirium)</w:t>
        </w:r>
      </w:hyperlink>
    </w:p>
    <w:p>
      <w:pPr>
        <w:pStyle w:val="ListBullet"/>
        <w:spacing w:after="40"/>
      </w:pPr>
      <w:hyperlink r:id="rId12">
        <w:r>
          <w:rPr>
            <w:color w:val="244FC5"/>
            <w:u w:val="single"/>
          </w:rPr>
          <w:t>NHS inform: Signs and symptoms of delirium</w:t>
        </w:r>
      </w:hyperlink>
    </w:p>
    <w:p>
      <w:pPr>
        <w:pStyle w:val="ListBullet"/>
        <w:spacing w:after="40"/>
      </w:pPr>
      <w:hyperlink r:id="rId13">
        <w:r>
          <w:rPr>
            <w:color w:val="244FC5"/>
            <w:u w:val="single"/>
          </w:rPr>
          <w:t>NICE CG103: Indicators of delirium</w:t>
        </w:r>
      </w:hyperlink>
    </w:p>
    <w:p>
      <w:pPr>
        <w:pStyle w:val="ListBullet"/>
        <w:spacing w:after="40"/>
      </w:pPr>
      <w:hyperlink r:id="rId14">
        <w:r>
          <w:rPr>
            <w:color w:val="244FC5"/>
            <w:u w:val="single"/>
          </w:rPr>
          <w:t>SIGN 157: Risk reduction and management of delirium</w:t>
        </w:r>
      </w:hyperlink>
    </w:p>
    <w:p>
      <w:pPr>
        <w:pStyle w:val="Heading2"/>
        <w:keepNext/>
      </w:pPr>
      <w:r>
        <w:t>Publication and local review</w:t>
      </w:r>
    </w:p>
    <w:p>
      <w:r>
        <w:rPr>
          <w:rFonts w:ascii="Arial" w:hAnsi="Arial"/>
        </w:rPr>
        <w:t>UK-focused general education. This editable file is supplied so a health or care organisation can add local contacts and pathways. Local edits may change clinical meaning and must be reviewed by an appropriately qualified named clinician before use. It does not replace individual assessment, current national guidance, local policy or formulary advice. Prepared from source materials curated by Professor Alasdair MacLullich, University of Edinburgh; AI-assisted production. Professor MacLullich led development of the 4AT and reports no financial interest in its uptake. Final named human clinical approval is required before use in patient care. Independent resource; not an official University of Edinburgh or NHS publication.</w:t>
      </w:r>
    </w:p>
    <w:sectPr w:rsidR="00FC693F" w:rsidRPr="0006063C" w:rsidSect="00034616">
      <w:headerReference w:type="default" r:id="rId9"/>
      <w:footerReference w:type="default" r:id="rId10"/>
      <w:pgSz w:w="11906" w:h="16838"/>
      <w:pgMar w:top="992" w:right="992" w:bottom="992" w:left="992"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51" w:val="right"/>
      </w:tabs>
    </w:pPr>
    <w:r>
      <w:rPr>
        <w:rFonts w:ascii="Arial" w:hAnsi="Arial"/>
        <w:color w:val="334E68"/>
        <w:sz w:val="15"/>
      </w:rPr>
      <w:t>deliriumdownloads.com · Template v0.9 · 8 August 2026 · Human clinical review required</w:t>
    </w:r>
    <w:r>
      <w:tab/>
    </w:r>
    <w:r>
      <w:rPr>
        <w:rFonts w:ascii="Arial" w:hAnsi="Arial"/>
        <w:color w:val="334E68"/>
        <w:sz w:val="15"/>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Arial" w:hAnsi="Arial"/>
        <w:b/>
        <w:color w:val="334E68"/>
        <w:sz w:val="16"/>
      </w:rPr>
      <w:t>DELIRIUM DOWNLOADS  ·  EDITABLE LOCAL-ADAPTATION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Arial" w:hAnsi="Arial"/>
      <w:color w:val="102A43"/>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Georgia" w:hAnsi="Georgia"/>
      <w:b/>
      <w:bCs/>
      <w:color w:val="102A4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Georgia" w:hAnsi="Georgia"/>
      <w:b/>
      <w:bCs/>
      <w:color w:val="102A43"/>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rial" w:hAnsi="Arial"/>
      <w:b/>
      <w:bCs/>
      <w:color w:val="334E6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300" w:lineRule="auto"/>
      <w:ind w:left="540" w:hanging="271"/>
      <w:contextualSpacing/>
    </w:pPr>
    <w:rPr>
      <w:rFonts w:ascii="Arial" w:hAnsi="Arial"/>
      <w:sz w:val="24"/>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hs.uk/symptoms/confusion/" TargetMode="External"/><Relationship Id="rId12" Type="http://schemas.openxmlformats.org/officeDocument/2006/relationships/hyperlink" Target="https://www.nhsinform.scot/illnesses-and-conditions/brain-nerves-and-spinal-cord/delirium" TargetMode="External"/><Relationship Id="rId13" Type="http://schemas.openxmlformats.org/officeDocument/2006/relationships/hyperlink" Target="https://www.nice.org.uk/guidance/cg103/chapter/Recommendations" TargetMode="External"/><Relationship Id="rId14" Type="http://schemas.openxmlformats.org/officeDocument/2006/relationships/hyperlink" Target="https://rightdecisions.scot.nhs.uk/media/1728/sign-guidelines-deliriu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Signs to notice and when to act - editable local-adaptation template</dc:title>
  <dc:subject>Delirium education resource - human clinical review required</dc:subject>
  <dc:creator>Professor Alasdair MacLullich</dc:creator>
  <cp:keywords>delirium, local adaptation, clinical education</cp:keywords>
  <dc:description>AI-assisted production. Final named human clinical review required.</dc:description>
  <cp:lastModifiedBy/>
  <cp:revision>1</cp:revision>
  <dcterms:created xsi:type="dcterms:W3CDTF">2013-12-23T23:15:00Z</dcterms:created>
  <dcterms:modified xsi:type="dcterms:W3CDTF">2013-12-23T23:15:00Z</dcterms:modified>
  <cp:category/>
</cp:coreProperties>
</file>