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Recognising delirium: look for change from usual</w:t>
      </w:r>
    </w:p>
    <w:p>
      <w:pPr>
        <w:spacing w:after="200"/>
      </w:pPr>
      <w:r>
        <w:rPr>
          <w:rFonts w:ascii="Arial" w:hAnsi="Arial"/>
          <w:b/>
          <w:color w:val="4F77FF"/>
          <w:sz w:val="17"/>
        </w:rPr>
        <w:t>INTENDED USE: CLINICAL TEAMS</w:t>
      </w:r>
    </w:p>
    <w:p>
      <w:pPr>
        <w:spacing w:after="240"/>
      </w:pPr>
      <w:r>
        <w:rPr>
          <w:rFonts w:ascii="Arial" w:hAnsi="Arial"/>
          <w:i/>
          <w:color w:val="334E68"/>
          <w:sz w:val="23"/>
        </w:rPr>
        <w:t>Help staff recognise a new or fluctuating change that may be delirium, including quieter presentations that are easily missed.</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Look for an acute or fluctuating change</w:t>
      </w:r>
    </w:p>
    <w:p>
      <w:pPr>
        <w:pStyle w:val="ListBullet"/>
      </w:pPr>
      <w:r>
        <w:rPr>
          <w:rFonts w:ascii="Arial" w:hAnsi="Arial"/>
        </w:rPr>
        <w:t>Ask whether alertness, attention, thinking, perception or behaviour has changed over hours or days.</w:t>
      </w:r>
    </w:p>
    <w:p>
      <w:pPr>
        <w:pStyle w:val="ListBullet"/>
      </w:pPr>
      <w:r>
        <w:rPr>
          <w:rFonts w:ascii="Arial" w:hAnsi="Arial"/>
        </w:rPr>
        <w:t>Notice fluctuation: a person may appear clearer at one contact and substantially different at another.</w:t>
      </w:r>
    </w:p>
    <w:p>
      <w:pPr>
        <w:pStyle w:val="ListBullet"/>
      </w:pPr>
      <w:r>
        <w:rPr>
          <w:rFonts w:ascii="Arial" w:hAnsi="Arial"/>
        </w:rPr>
        <w:t>Treat a credible concern from family, carers or staff who know the person as clinically important information.</w:t>
      </w:r>
    </w:p>
    <w:p>
      <w:pPr>
        <w:pStyle w:val="Heading2"/>
        <w:keepNext/>
      </w:pPr>
      <w:r>
        <w:t>Do not look only for agitation</w:t>
      </w:r>
    </w:p>
    <w:p>
      <w:pPr>
        <w:pStyle w:val="ListBullet"/>
      </w:pPr>
      <w:r>
        <w:rPr>
          <w:rFonts w:ascii="Arial" w:hAnsi="Arial"/>
        </w:rPr>
        <w:t>Delirium may present with restlessness, fear, suspiciousness, hallucinations or disorganised speech.</w:t>
      </w:r>
    </w:p>
    <w:p>
      <w:pPr>
        <w:pStyle w:val="ListBullet"/>
      </w:pPr>
      <w:r>
        <w:rPr>
          <w:rFonts w:ascii="Arial" w:hAnsi="Arial"/>
        </w:rPr>
        <w:t>It may instead present with drowsiness, withdrawal, slow responses, reduced movement, poor concentration or reduced appetite. This quieter pattern is often called hypoactive delirium.</w:t>
      </w:r>
    </w:p>
    <w:p>
      <w:pPr>
        <w:pStyle w:val="ListBullet"/>
      </w:pPr>
      <w:r>
        <w:rPr>
          <w:rFonts w:ascii="Arial" w:hAnsi="Arial"/>
        </w:rPr>
        <w:t>Mixed presentations can move between quieter and more active states.</w:t>
      </w:r>
    </w:p>
    <w:p>
      <w:pPr>
        <w:pStyle w:val="Heading2"/>
        <w:keepNext/>
      </w:pPr>
      <w:r>
        <w:t>Establish the usual baseline</w:t>
      </w:r>
    </w:p>
    <w:p>
      <w:pPr>
        <w:pStyle w:val="ListBullet"/>
      </w:pPr>
      <w:r>
        <w:rPr>
          <w:rFonts w:ascii="Arial" w:hAnsi="Arial"/>
        </w:rPr>
        <w:t>Find out the person’s usual cognition, communication, alertness and level of function.</w:t>
      </w:r>
    </w:p>
    <w:p>
      <w:pPr>
        <w:pStyle w:val="ListBullet"/>
      </w:pPr>
      <w:r>
        <w:rPr>
          <w:rFonts w:ascii="Arial" w:hAnsi="Arial"/>
        </w:rPr>
        <w:t>Use more than one source where possible: the person, family or carers, care records, referral information and staff observations.</w:t>
      </w:r>
    </w:p>
    <w:p>
      <w:pPr>
        <w:pStyle w:val="ListBullet"/>
      </w:pPr>
      <w:r>
        <w:rPr>
          <w:rFonts w:ascii="Arial" w:hAnsi="Arial"/>
        </w:rPr>
        <w:t>Check that hearing, vision, language or communication difficulties are not obscuring the assessment.</w:t>
      </w:r>
    </w:p>
    <w:p>
      <w:pPr>
        <w:pStyle w:val="Heading2"/>
        <w:keepNext/>
      </w:pPr>
      <w:r>
        <w:t>Record and assess</w:t>
      </w:r>
    </w:p>
    <w:p>
      <w:pPr>
        <w:pStyle w:val="ListBullet"/>
      </w:pPr>
      <w:r>
        <w:rPr>
          <w:rFonts w:ascii="Arial" w:hAnsi="Arial"/>
        </w:rPr>
        <w:t>Document the observed change, its timing, fluctuation and the source of baseline information.</w:t>
      </w:r>
    </w:p>
    <w:p>
      <w:pPr>
        <w:pStyle w:val="ListBullet"/>
      </w:pPr>
      <w:r>
        <w:rPr>
          <w:rFonts w:ascii="Arial" w:hAnsi="Arial"/>
        </w:rPr>
        <w:t>If indicators of delirium are present, arrange assessment with the appropriate tool and a clinical evaluation.</w:t>
      </w:r>
    </w:p>
    <w:p>
      <w:pPr>
        <w:pStyle w:val="ListBullet"/>
      </w:pPr>
      <w:r>
        <w:rPr>
          <w:rFonts w:ascii="Arial" w:hAnsi="Arial"/>
        </w:rPr>
        <w:t>If delirium and dementia are difficult to distinguish, address possible delirium first.</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act on sudden change:</w:t>
      </w:r>
      <w:r>
        <w:rPr>
          <w:rFonts w:ascii="Arial" w:hAnsi="Arial"/>
          <w:color w:val="102A43"/>
          <w:sz w:val="21"/>
        </w:rPr>
        <w:t xml:space="preserve"> New confusion or a marked change in alertness may signal serious acute illness and needs prompt clinical assessment. A detection tool supports recognition; it does not by itself make the final diagnosis. Follow the setting’s emergency response if the person is acutely unstable or difficult to rouse. NICE recommends CAM-ICU or ICDSC rather than 4AT in critical care or the recovery room after surgery.</w:t>
      </w:r>
    </w:p>
    <w:p>
      <w:pPr>
        <w:pStyle w:val="Heading2"/>
        <w:keepNext/>
      </w:pPr>
      <w:r>
        <w:t>Verified official sources</w:t>
      </w:r>
    </w:p>
    <w:p>
      <w:pPr>
        <w:pStyle w:val="ListBullet"/>
        <w:spacing w:after="40"/>
      </w:pPr>
      <w:hyperlink r:id="rId11">
        <w:r>
          <w:rPr>
            <w:color w:val="244FC5"/>
            <w:u w:val="single"/>
          </w:rPr>
          <w:t>NICE CG103: recommendations</w:t>
        </w:r>
      </w:hyperlink>
    </w:p>
    <w:p>
      <w:pPr>
        <w:pStyle w:val="ListBullet"/>
        <w:spacing w:after="40"/>
      </w:pPr>
      <w:hyperlink r:id="rId12">
        <w:r>
          <w:rPr>
            <w:color w:val="244FC5"/>
            <w:u w:val="single"/>
          </w:rPr>
          <w:t>SIGN 157 on Right Decisions: detecting delirium</w:t>
        </w:r>
      </w:hyperlink>
    </w:p>
    <w:p>
      <w:pPr>
        <w:pStyle w:val="ListBullet"/>
        <w:spacing w:after="40"/>
      </w:pPr>
      <w:hyperlink r:id="rId13">
        <w:r>
          <w:rPr>
            <w:color w:val="244FC5"/>
            <w:u w:val="single"/>
          </w:rPr>
          <w:t>Official 4AT user guide</w:t>
        </w:r>
      </w:hyperlink>
    </w:p>
    <w:p>
      <w:pPr>
        <w:pStyle w:val="ListBullet"/>
        <w:spacing w:after="40"/>
      </w:pPr>
      <w:hyperlink r:id="rId14">
        <w:r>
          <w:rPr>
            <w:color w:val="244FC5"/>
            <w:u w:val="single"/>
          </w:rPr>
          <w:t>NHS inform: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about-4at-other-tools/sign-key-recommendations/" TargetMode="External"/><Relationship Id="rId13" Type="http://schemas.openxmlformats.org/officeDocument/2006/relationships/hyperlink" Target="https://www.the4at.com/userguide" TargetMode="External"/><Relationship Id="rId14"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Recognising delirium: look for change from usual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