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60"/>
        <w:shd w:fill="DFE7FF"/>
      </w:pPr>
      <w:r>
        <w:rPr>
          <w:rFonts w:ascii="Arial" w:hAnsi="Arial"/>
          <w:b/>
          <w:color w:val="102A43"/>
          <w:sz w:val="17"/>
        </w:rPr>
        <w:t>EDITABLE TEMPLATE  ·  CLINICAL REVIEW REQUIRED BEFORE USE</w:t>
      </w:r>
    </w:p>
    <w:p>
      <w:pPr>
        <w:spacing w:before="0" w:after="80"/>
      </w:pPr>
      <w:r>
        <w:rPr>
          <w:rFonts w:ascii="Georgia" w:hAnsi="Georgia"/>
          <w:b/>
          <w:color w:val="102A43"/>
          <w:sz w:val="46"/>
        </w:rPr>
        <w:t>Delirium prevention: a tailored multicomponent plan</w:t>
      </w:r>
    </w:p>
    <w:p>
      <w:pPr>
        <w:spacing w:after="200"/>
      </w:pPr>
      <w:r>
        <w:rPr>
          <w:rFonts w:ascii="Arial" w:hAnsi="Arial"/>
          <w:b/>
          <w:color w:val="4F77FF"/>
          <w:sz w:val="17"/>
        </w:rPr>
        <w:t>INTENDED USE: CLINICAL TEAMS</w:t>
      </w:r>
    </w:p>
    <w:p>
      <w:pPr>
        <w:spacing w:after="240"/>
      </w:pPr>
      <w:r>
        <w:rPr>
          <w:rFonts w:ascii="Arial" w:hAnsi="Arial"/>
          <w:i/>
          <w:color w:val="334E68"/>
          <w:sz w:val="23"/>
        </w:rPr>
        <w:t>Help teams reduce delirium risk by addressing several modifiable factors together rather than relying on a single intervention.</w:t>
      </w:r>
    </w:p>
    <w:tbl>
      <w:tblPr>
        <w:tblStyle w:val="TableGrid"/>
        <w:tblW w:type="dxa" w:w="9920"/>
        <w:jc w:val="left"/>
        <w:tblLayout w:type="fixed"/>
        <w:tblLook w:firstColumn="1" w:firstRow="1" w:lastColumn="0" w:lastRow="0" w:noHBand="0" w:noVBand="1" w:val="04A0"/>
        <w:tblInd w:w="120" w:type="dxa"/>
      </w:tblPr>
      <w:tblGrid>
        <w:gridCol w:w="2500"/>
        <w:gridCol w:w="7420"/>
      </w:tblGrid>
      <w:tr>
        <w:trPr>
          <w:tblHeader w:val="true"/>
        </w:trPr>
        <w:tc>
          <w:tcPr>
            <w:tcW w:type="dxa" w:w="9920"/>
            <w:gridSpan w:val="2"/>
            <w:tcMar>
              <w:top w:w="100" w:type="dxa"/>
              <w:start w:w="120" w:type="dxa"/>
              <w:bottom w:w="100" w:type="dxa"/>
              <w:end w:w="120" w:type="dxa"/>
            </w:tcMar>
            <w:shd w:fill="C9F45B"/>
            <w:vAlign w:val="center"/>
          </w:tcPr>
          <w:p>
            <w:r>
              <w:rPr>
                <w:rFonts w:ascii="Arial" w:hAnsi="Arial"/>
                <w:b/>
                <w:color w:val="102A43"/>
                <w:sz w:val="18"/>
              </w:rPr>
              <w:t>LOCAL ADAPTATION FIELDS - replace highlighted text before use</w:t>
            </w:r>
          </w:p>
        </w:tc>
      </w:tr>
      <w:tr>
        <w:tc>
          <w:tcPr>
            <w:tcW w:type="dxa" w:w="2500"/>
            <w:tcMar>
              <w:top w:w="100" w:type="dxa"/>
              <w:start w:w="120" w:type="dxa"/>
              <w:bottom w:w="100" w:type="dxa"/>
              <w:end w:w="120" w:type="dxa"/>
            </w:tcMar>
            <w:vAlign w:val="center"/>
            <w:shd w:fill="EEF2F5"/>
          </w:tcPr>
          <w:p>
            <w:r>
              <w:rPr>
                <w:rFonts w:ascii="Arial" w:hAnsi="Arial"/>
                <w:b/>
                <w:color w:val="102A43"/>
                <w:sz w:val="18"/>
              </w:rPr>
              <w:t>Organisation / service</w:t>
            </w:r>
          </w:p>
        </w:tc>
        <w:tc>
          <w:tcPr>
            <w:tcW w:type="dxa" w:w="7420"/>
            <w:tcMar>
              <w:top w:w="100" w:type="dxa"/>
              <w:start w:w="120" w:type="dxa"/>
              <w:bottom w:w="100" w:type="dxa"/>
              <w:end w:w="120" w:type="dxa"/>
            </w:tcMar>
            <w:vAlign w:val="center"/>
            <w:shd w:fill="FFFDF8"/>
          </w:tcPr>
          <w:p>
            <w:r>
              <w:rPr>
                <w:rFonts w:ascii="Arial" w:hAnsi="Arial"/>
                <w:i/>
                <w:color w:val="334E68"/>
                <w:sz w:val="18"/>
              </w:rPr>
              <w:t>[ADD LOCAL NAME OR LOGO]</w:t>
            </w:r>
          </w:p>
        </w:tc>
      </w:tr>
      <w:tr>
        <w:tc>
          <w:tcPr>
            <w:tcW w:type="dxa" w:w="2500"/>
            <w:tcMar>
              <w:top w:w="100" w:type="dxa"/>
              <w:start w:w="120" w:type="dxa"/>
              <w:bottom w:w="100" w:type="dxa"/>
              <w:end w:w="120" w:type="dxa"/>
            </w:tcMar>
            <w:vAlign w:val="center"/>
            <w:shd w:fill="EEF2F5"/>
          </w:tcPr>
          <w:p>
            <w:r>
              <w:rPr>
                <w:rFonts w:ascii="Arial" w:hAnsi="Arial"/>
                <w:b/>
                <w:color w:val="102A43"/>
                <w:sz w:val="18"/>
              </w:rPr>
              <w:t>Clinical lead / owner</w:t>
            </w:r>
          </w:p>
        </w:tc>
        <w:tc>
          <w:tcPr>
            <w:tcW w:type="dxa" w:w="7420"/>
            <w:tcMar>
              <w:top w:w="100" w:type="dxa"/>
              <w:start w:w="120" w:type="dxa"/>
              <w:bottom w:w="100" w:type="dxa"/>
              <w:end w:w="120" w:type="dxa"/>
            </w:tcMar>
            <w:vAlign w:val="center"/>
            <w:shd w:fill="FFFDF8"/>
          </w:tcPr>
          <w:p>
            <w:r>
              <w:rPr>
                <w:rFonts w:ascii="Arial" w:hAnsi="Arial"/>
                <w:i/>
                <w:color w:val="334E68"/>
                <w:sz w:val="18"/>
              </w:rPr>
              <w:t>[ADD NAME, ROLE AND CONTACT]</w:t>
            </w:r>
          </w:p>
        </w:tc>
      </w:tr>
      <w:tr>
        <w:tc>
          <w:tcPr>
            <w:tcW w:type="dxa" w:w="2500"/>
            <w:tcMar>
              <w:top w:w="100" w:type="dxa"/>
              <w:start w:w="120" w:type="dxa"/>
              <w:bottom w:w="100" w:type="dxa"/>
              <w:end w:w="120" w:type="dxa"/>
            </w:tcMar>
            <w:vAlign w:val="center"/>
            <w:shd w:fill="EEF2F5"/>
          </w:tcPr>
          <w:p>
            <w:r>
              <w:rPr>
                <w:rFonts w:ascii="Arial" w:hAnsi="Arial"/>
                <w:b/>
                <w:color w:val="102A43"/>
                <w:sz w:val="18"/>
              </w:rPr>
              <w:t>Escalation or referral route</w:t>
            </w:r>
          </w:p>
        </w:tc>
        <w:tc>
          <w:tcPr>
            <w:tcW w:type="dxa" w:w="7420"/>
            <w:tcMar>
              <w:top w:w="100" w:type="dxa"/>
              <w:start w:w="120" w:type="dxa"/>
              <w:bottom w:w="100" w:type="dxa"/>
              <w:end w:w="120" w:type="dxa"/>
            </w:tcMar>
            <w:vAlign w:val="center"/>
            <w:shd w:fill="FFFDF8"/>
          </w:tcPr>
          <w:p>
            <w:r>
              <w:rPr>
                <w:rFonts w:ascii="Arial" w:hAnsi="Arial"/>
                <w:i/>
                <w:color w:val="334E68"/>
                <w:sz w:val="18"/>
              </w:rPr>
              <w:t>[ADD LOCAL ROUTE AND TELEPHONE / BLEEP DETAILS]</w:t>
            </w:r>
          </w:p>
        </w:tc>
      </w:tr>
      <w:tr>
        <w:tc>
          <w:tcPr>
            <w:tcW w:type="dxa" w:w="2500"/>
            <w:tcMar>
              <w:top w:w="100" w:type="dxa"/>
              <w:start w:w="120" w:type="dxa"/>
              <w:bottom w:w="100" w:type="dxa"/>
              <w:end w:w="120" w:type="dxa"/>
            </w:tcMar>
            <w:vAlign w:val="center"/>
            <w:shd w:fill="EEF2F5"/>
          </w:tcPr>
          <w:p>
            <w:r>
              <w:rPr>
                <w:rFonts w:ascii="Arial" w:hAnsi="Arial"/>
                <w:b/>
                <w:color w:val="102A43"/>
                <w:sz w:val="18"/>
              </w:rPr>
              <w:t>Local policy / review note</w:t>
            </w:r>
          </w:p>
        </w:tc>
        <w:tc>
          <w:tcPr>
            <w:tcW w:type="dxa" w:w="7420"/>
            <w:tcMar>
              <w:top w:w="100" w:type="dxa"/>
              <w:start w:w="120" w:type="dxa"/>
              <w:bottom w:w="100" w:type="dxa"/>
              <w:end w:w="120" w:type="dxa"/>
            </w:tcMar>
            <w:vAlign w:val="center"/>
            <w:shd w:fill="FFFDF8"/>
          </w:tcPr>
          <w:p>
            <w:r>
              <w:rPr>
                <w:rFonts w:ascii="Arial" w:hAnsi="Arial"/>
                <w:i/>
                <w:color w:val="334E68"/>
                <w:sz w:val="18"/>
              </w:rPr>
              <w:t>[ADD POLICY LINK, FORMULARY NOTE OR NEXT REVIEW DATE]</w:t>
            </w:r>
          </w:p>
        </w:tc>
      </w:tr>
    </w:tbl>
    <w:p>
      <w:pPr>
        <w:spacing w:after="80"/>
      </w:pPr>
    </w:p>
    <w:p>
      <w:pPr>
        <w:pStyle w:val="Heading2"/>
        <w:keepNext/>
      </w:pPr>
      <w:r>
        <w:t>Identify risk and individual needs</w:t>
      </w:r>
    </w:p>
    <w:p>
      <w:pPr>
        <w:pStyle w:val="ListBullet"/>
      </w:pPr>
      <w:r>
        <w:rPr>
          <w:rFonts w:ascii="Arial" w:hAnsi="Arial"/>
        </w:rPr>
        <w:t>Be particularly alert where NICE risk factors are present: age 65 or over, cognitive impairment or dementia, hip fracture, or severe illness.</w:t>
      </w:r>
    </w:p>
    <w:p>
      <w:pPr>
        <w:pStyle w:val="ListBullet"/>
      </w:pPr>
      <w:r>
        <w:rPr>
          <w:rFonts w:ascii="Arial" w:hAnsi="Arial"/>
        </w:rPr>
        <w:t>Ask about previous delirium, usual cognition and function, sensory needs, medicines and the person’s normal routines.</w:t>
      </w:r>
    </w:p>
    <w:p>
      <w:pPr>
        <w:pStyle w:val="ListBullet"/>
      </w:pPr>
      <w:r>
        <w:rPr>
          <w:rFonts w:ascii="Arial" w:hAnsi="Arial"/>
        </w:rPr>
        <w:t>Assess modifiable contributors early and build a plan tailored to the person and care setting.</w:t>
      </w:r>
    </w:p>
    <w:p>
      <w:pPr>
        <w:pStyle w:val="Heading2"/>
        <w:keepNext/>
      </w:pPr>
      <w:r>
        <w:t>Support orientation and communication</w:t>
      </w:r>
    </w:p>
    <w:p>
      <w:pPr>
        <w:pStyle w:val="ListBullet"/>
      </w:pPr>
      <w:r>
        <w:rPr>
          <w:rFonts w:ascii="Arial" w:hAnsi="Arial"/>
        </w:rPr>
        <w:t>Explain the place, situation and team roles; make clocks, calendars and appropriate signs easy to see.</w:t>
      </w:r>
    </w:p>
    <w:p>
      <w:pPr>
        <w:pStyle w:val="ListBullet"/>
      </w:pPr>
      <w:r>
        <w:rPr>
          <w:rFonts w:ascii="Arial" w:hAnsi="Arial"/>
        </w:rPr>
        <w:t>Ensure glasses, hearing aids and communication support are available and working.</w:t>
      </w:r>
    </w:p>
    <w:p>
      <w:pPr>
        <w:pStyle w:val="ListBullet"/>
      </w:pPr>
      <w:r>
        <w:rPr>
          <w:rFonts w:ascii="Arial" w:hAnsi="Arial"/>
        </w:rPr>
        <w:t>Encourage familiar contact and involvement from family or carers where the person wishes and it is feasible.</w:t>
      </w:r>
    </w:p>
    <w:p>
      <w:pPr>
        <w:pStyle w:val="Heading2"/>
        <w:keepNext/>
      </w:pPr>
      <w:r>
        <w:t>Protect physiology and comfort</w:t>
      </w:r>
    </w:p>
    <w:p>
      <w:pPr>
        <w:pStyle w:val="ListBullet"/>
      </w:pPr>
      <w:r>
        <w:rPr>
          <w:rFonts w:ascii="Arial" w:hAnsi="Arial"/>
        </w:rPr>
        <w:t>Identify and address dehydration, constipation, hypoxia, infection, pain and poor nutrition.</w:t>
      </w:r>
    </w:p>
    <w:p>
      <w:pPr>
        <w:pStyle w:val="ListBullet"/>
      </w:pPr>
      <w:r>
        <w:rPr>
          <w:rFonts w:ascii="Arial" w:hAnsi="Arial"/>
        </w:rPr>
        <w:t>Review medicines with an experienced healthcare professional, including recent changes and cumulative burden.</w:t>
      </w:r>
    </w:p>
    <w:p>
      <w:pPr>
        <w:pStyle w:val="ListBullet"/>
      </w:pPr>
      <w:r>
        <w:rPr>
          <w:rFonts w:ascii="Arial" w:hAnsi="Arial"/>
        </w:rPr>
        <w:t>Minimise avoidable devices and interruptions while meeting the person’s clinical needs.</w:t>
      </w:r>
    </w:p>
    <w:p>
      <w:pPr>
        <w:pStyle w:val="Heading2"/>
        <w:keepNext/>
      </w:pPr>
      <w:r>
        <w:t>Protect mobility, sleep and familiarity</w:t>
      </w:r>
    </w:p>
    <w:p>
      <w:pPr>
        <w:pStyle w:val="ListBullet"/>
      </w:pPr>
      <w:r>
        <w:rPr>
          <w:rFonts w:ascii="Arial" w:hAnsi="Arial"/>
        </w:rPr>
        <w:t>Encourage appropriate mobilisation and active participation in care.</w:t>
      </w:r>
    </w:p>
    <w:p>
      <w:pPr>
        <w:pStyle w:val="ListBullet"/>
      </w:pPr>
      <w:r>
        <w:rPr>
          <w:rFonts w:ascii="Arial" w:hAnsi="Arial"/>
        </w:rPr>
        <w:t>Promote daytime light and activity, then reduce avoidable noise and disruption at night.</w:t>
      </w:r>
    </w:p>
    <w:p>
      <w:pPr>
        <w:pStyle w:val="ListBullet"/>
      </w:pPr>
      <w:r>
        <w:rPr>
          <w:rFonts w:ascii="Arial" w:hAnsi="Arial"/>
        </w:rPr>
        <w:t>Avoid unnecessary transfers between rooms or wards and maintain familiar staff and routines where possible.</w:t>
      </w:r>
    </w:p>
    <w:p>
      <w:pPr>
        <w:pStyle w:val="Heading2"/>
        <w:keepNext/>
      </w:pPr>
      <w:r>
        <w:t>Make prevention a team process</w:t>
      </w:r>
    </w:p>
    <w:p>
      <w:pPr>
        <w:pStyle w:val="ListBullet"/>
      </w:pPr>
      <w:r>
        <w:rPr>
          <w:rFonts w:ascii="Arial" w:hAnsi="Arial"/>
        </w:rPr>
        <w:t>Assign actions clearly across the multidisciplinary team, document a named owner and review them at an interval appropriate to the person and setting.</w:t>
      </w:r>
    </w:p>
    <w:p>
      <w:pPr>
        <w:pStyle w:val="ListBullet"/>
      </w:pPr>
      <w:r>
        <w:rPr>
          <w:rFonts w:ascii="Arial" w:hAnsi="Arial"/>
        </w:rPr>
        <w:t>Observe for new or fluctuating changes and record them.</w:t>
      </w:r>
    </w:p>
    <w:p>
      <w:pPr>
        <w:pStyle w:val="ListBullet"/>
      </w:pPr>
      <w:r>
        <w:rPr>
          <w:rFonts w:ascii="Arial" w:hAnsi="Arial"/>
        </w:rPr>
        <w:t>When indicators appear, move promptly from prevention to delirium assessment and clinical management.</w:t>
      </w:r>
    </w:p>
    <w:p>
      <w:pPr>
        <w:spacing w:before="80" w:after="140"/>
        <w:ind w:left="120" w:right="120"/>
        <w:shd w:fill="DFE7FF"/>
        <w:pBdr>
          <w:top w:val="single" w:sz="10" w:space="5" w:color="102A43"/>
          <w:left w:val="single" w:sz="10" w:space="5" w:color="102A43"/>
          <w:bottom w:val="single" w:sz="10" w:space="5" w:color="102A43"/>
          <w:right w:val="single" w:sz="10" w:space="5" w:color="102A43"/>
        </w:pBdr>
      </w:pPr>
      <w:r>
        <w:rPr>
          <w:rFonts w:ascii="Arial" w:hAnsi="Arial"/>
          <w:b/>
          <w:color w:val="102A43"/>
          <w:sz w:val="21"/>
        </w:rPr>
        <w:t>Safety box  -  prevention is not treatment:</w:t>
      </w:r>
      <w:r>
        <w:rPr>
          <w:rFonts w:ascii="Arial" w:hAnsi="Arial"/>
          <w:color w:val="102A43"/>
          <w:sz w:val="21"/>
        </w:rPr>
        <w:t xml:space="preserve"> A prevention bundle must not delay assessment of a new change or treatment of an acute cause. If delirium is suspected, arrange the recommended assessment and clinical evaluation even if preventive measures are already in place.</w:t>
      </w:r>
    </w:p>
    <w:p>
      <w:pPr>
        <w:pStyle w:val="Heading2"/>
        <w:keepNext/>
      </w:pPr>
      <w:r>
        <w:t>Verified official sources</w:t>
      </w:r>
    </w:p>
    <w:p>
      <w:pPr>
        <w:pStyle w:val="ListBullet"/>
        <w:spacing w:after="40"/>
      </w:pPr>
      <w:hyperlink r:id="rId11">
        <w:r>
          <w:rPr>
            <w:color w:val="244FC5"/>
            <w:u w:val="single"/>
          </w:rPr>
          <w:t>NICE CG103: risk factors and tailored multicomponent prevention</w:t>
        </w:r>
      </w:hyperlink>
    </w:p>
    <w:p>
      <w:pPr>
        <w:pStyle w:val="ListBullet"/>
        <w:spacing w:after="40"/>
      </w:pPr>
      <w:hyperlink r:id="rId12">
        <w:r>
          <w:rPr>
            <w:color w:val="244FC5"/>
            <w:u w:val="single"/>
          </w:rPr>
          <w:t>SIGN 157 on Right Decisions: non-pharmacological risk reduction</w:t>
        </w:r>
      </w:hyperlink>
    </w:p>
    <w:p>
      <w:pPr>
        <w:pStyle w:val="ListBullet"/>
        <w:spacing w:after="40"/>
      </w:pPr>
      <w:hyperlink r:id="rId13">
        <w:r>
          <w:rPr>
            <w:color w:val="244FC5"/>
            <w:u w:val="single"/>
          </w:rPr>
          <w:t>SIGN 157 on Right Decisions: medicines optimisation</w:t>
        </w:r>
      </w:hyperlink>
    </w:p>
    <w:p>
      <w:pPr>
        <w:pStyle w:val="ListBullet"/>
        <w:spacing w:after="40"/>
      </w:pPr>
      <w:hyperlink r:id="rId14">
        <w:r>
          <w:rPr>
            <w:color w:val="244FC5"/>
            <w:u w:val="single"/>
          </w:rPr>
          <w:t>SIGN 157 guideline PDF</w:t>
        </w:r>
      </w:hyperlink>
    </w:p>
    <w:p>
      <w:pPr>
        <w:pStyle w:val="ListBullet"/>
        <w:spacing w:after="40"/>
      </w:pPr>
      <w:hyperlink r:id="rId15">
        <w:r>
          <w:rPr>
            <w:color w:val="244FC5"/>
            <w:u w:val="single"/>
          </w:rPr>
          <w:t>NHS inform: delirium risk and causes</w:t>
        </w:r>
      </w:hyperlink>
    </w:p>
    <w:p>
      <w:pPr>
        <w:pStyle w:val="Heading2"/>
        <w:keepNext/>
      </w:pPr>
      <w:r>
        <w:t>Publication and local review</w:t>
      </w:r>
    </w:p>
    <w:p>
      <w:r>
        <w:rPr>
          <w:rFonts w:ascii="Arial" w:hAnsi="Arial"/>
        </w:rPr>
        <w:t>UK-focused general education. This editable file is supplied so a health or care organisation can add local contacts and pathways. Local edits may change clinical meaning and must be reviewed by an appropriately qualified named clinician before use. It does not replace individual assessment, current national guidance, local policy or formulary advice. Prepared from source materials curated by Professor Alasdair MacLullich, University of Edinburgh; AI-assisted production. Professor MacLullich led development of the 4AT and reports no financial interest in its uptake. Final named human clinical approval is required before use in patient care. Independent resource; not an official University of Edinburgh or NHS publication.</w:t>
      </w:r>
    </w:p>
    <w:sectPr w:rsidR="00FC693F" w:rsidRPr="0006063C" w:rsidSect="00034616">
      <w:headerReference w:type="default" r:id="rId9"/>
      <w:footerReference w:type="default" r:id="rId10"/>
      <w:pgSz w:w="11906" w:h="16838"/>
      <w:pgMar w:top="992" w:right="992" w:bottom="992" w:left="992"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1" w:val="right"/>
      </w:tabs>
    </w:pPr>
    <w:r>
      <w:rPr>
        <w:rFonts w:ascii="Arial" w:hAnsi="Arial"/>
        <w:color w:val="334E68"/>
        <w:sz w:val="15"/>
      </w:rPr>
      <w:t>deliriumdownloads.com · Template v0.9 · 8 August 2026 · Human clinical review required</w:t>
    </w:r>
    <w:r>
      <w:tab/>
    </w:r>
    <w:r>
      <w:rPr>
        <w:rFonts w:ascii="Arial" w:hAnsi="Arial"/>
        <w:color w:val="334E68"/>
        <w:sz w:val="15"/>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334E68"/>
        <w:sz w:val="16"/>
      </w:rPr>
      <w:t>DELIRIUM DOWNLOADS  ·  EDITABLE LOCAL-ADAPTATION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93" w:lineRule="auto"/>
    </w:pPr>
    <w:rPr>
      <w:rFonts w:ascii="Arial" w:hAnsi="Arial"/>
      <w:color w:val="102A4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Georgia" w:hAnsi="Georgia"/>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Georgia" w:hAnsi="Georgia"/>
      <w:b/>
      <w:bCs/>
      <w:color w:val="102A4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334E6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70" w:line="293" w:lineRule="auto"/>
      <w:ind w:left="540" w:hanging="271"/>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ice.org.uk/guidance/cg103/chapter/Recommendations" TargetMode="External"/><Relationship Id="rId12" Type="http://schemas.openxmlformats.org/officeDocument/2006/relationships/hyperlink" Target="https://www.rightdecisions.scot.nhs.uk/risk-reduction-and-management-of-delirium-sign/risk-reduction/non-pharmacological-risk-reduction/" TargetMode="External"/><Relationship Id="rId13" Type="http://schemas.openxmlformats.org/officeDocument/2006/relationships/hyperlink" Target="https://www.rightdecisions.scot.nhs.uk/risk-reduction-and-management-of-delirium-sign/risk-reduction/pharmacological-risk-reduction/" TargetMode="External"/><Relationship Id="rId14" Type="http://schemas.openxmlformats.org/officeDocument/2006/relationships/hyperlink" Target="https://www.rightdecisions.scot.nhs.uk/media/1728/sign-guidelines-delirium.pdf" TargetMode="External"/><Relationship Id="rId15" Type="http://schemas.openxmlformats.org/officeDocument/2006/relationships/hyperlink" Target="https://www.nhsinform.scot/illnesses-and-conditions/brain-nerves-and-spinal-cord/delir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Delirium prevention: a tailored multicomponent plan - editable local-adaptation template</dc:title>
  <dc:subject>Delirium education resource - human clinical review required</dc:subject>
  <dc:creator>Professor Alasdair MacLullich</dc:creator>
  <cp:keywords>delirium, local adaptation, clinical education</cp:keywords>
  <dc:description>AI-assisted production. Final named human clinical review required.</dc:description>
  <cp:lastModifiedBy/>
  <cp:revision>1</cp:revision>
  <dcterms:created xsi:type="dcterms:W3CDTF">2013-12-23T23:15:00Z</dcterms:created>
  <dcterms:modified xsi:type="dcterms:W3CDTF">2013-12-23T23:15:00Z</dcterms:modified>
  <cp:category/>
</cp:coreProperties>
</file>