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Multidomain treatment of delirium</w:t>
      </w:r>
    </w:p>
    <w:p>
      <w:pPr>
        <w:spacing w:after="200"/>
      </w:pPr>
      <w:r>
        <w:rPr>
          <w:rFonts w:ascii="Arial" w:hAnsi="Arial"/>
          <w:b/>
          <w:color w:val="4F77FF"/>
          <w:sz w:val="17"/>
        </w:rPr>
        <w:t>INTENDED USE: CLINICAL TEAMS</w:t>
      </w:r>
    </w:p>
    <w:p>
      <w:pPr>
        <w:spacing w:after="240"/>
      </w:pPr>
      <w:r>
        <w:rPr>
          <w:rFonts w:ascii="Arial" w:hAnsi="Arial"/>
          <w:i/>
          <w:color w:val="334E68"/>
          <w:sz w:val="23"/>
        </w:rPr>
        <w:t>Help teams treat the causes of delirium while also creating the conditions for brain recovery, preventing complications and supporting the person through distress.</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Check urgency and define the change</w:t>
      </w:r>
    </w:p>
    <w:p>
      <w:pPr>
        <w:pStyle w:val="ListBullet"/>
      </w:pPr>
      <w:r>
        <w:rPr>
          <w:rFonts w:ascii="Arial" w:hAnsi="Arial"/>
        </w:rPr>
        <w:t>Assess the person's immediate clinical state and respond to physiological instability or another time-critical presentation.</w:t>
      </w:r>
    </w:p>
    <w:p>
      <w:pPr>
        <w:pStyle w:val="ListBullet"/>
      </w:pPr>
      <w:r>
        <w:rPr>
          <w:rFonts w:ascii="Arial" w:hAnsi="Arial"/>
        </w:rPr>
        <w:t>Establish the usual level of alertness, cognition, communication and function. Describe what changed, when it changed and how it has fluctuated.</w:t>
      </w:r>
    </w:p>
    <w:p>
      <w:pPr>
        <w:pStyle w:val="ListBullet"/>
      </w:pPr>
      <w:r>
        <w:rPr>
          <w:rFonts w:ascii="Arial" w:hAnsi="Arial"/>
        </w:rPr>
        <w:t>Use a recommended delirium assessment when indicated. The final diagnosis remains a clinical decision.</w:t>
      </w:r>
    </w:p>
    <w:p>
      <w:pPr>
        <w:pStyle w:val="Heading2"/>
        <w:keepNext/>
      </w:pPr>
      <w:r>
        <w:t>Find and treat the causes</w:t>
      </w:r>
    </w:p>
    <w:p>
      <w:pPr>
        <w:pStyle w:val="ListBullet"/>
      </w:pPr>
      <w:r>
        <w:rPr>
          <w:rFonts w:ascii="Arial" w:hAnsi="Arial"/>
        </w:rPr>
        <w:t>Use the history, examination, observations and clinical context to identify possible causes. More than one cause is common.</w:t>
      </w:r>
    </w:p>
    <w:p>
      <w:pPr>
        <w:pStyle w:val="ListBullet"/>
      </w:pPr>
      <w:r>
        <w:rPr>
          <w:rFonts w:ascii="Arial" w:hAnsi="Arial"/>
        </w:rPr>
        <w:t>Review acute illness, injury, pain, oxygenation, hydration, nutrition, bladder and bowel function, sleep, recent procedures and the care environment.</w:t>
      </w:r>
    </w:p>
    <w:p>
      <w:pPr>
        <w:pStyle w:val="ListBullet"/>
      </w:pPr>
      <w:r>
        <w:rPr>
          <w:rFonts w:ascii="Arial" w:hAnsi="Arial"/>
        </w:rPr>
        <w:t>Reconcile medicines, including recent starts, stops, dose changes, missed doses and possible withdrawal. Choose investigations from the clinical picture rather than a fixed panel.</w:t>
      </w:r>
    </w:p>
    <w:p>
      <w:pPr>
        <w:pStyle w:val="Heading2"/>
        <w:keepNext/>
      </w:pPr>
      <w:r>
        <w:t>Support brain recovery</w:t>
      </w:r>
    </w:p>
    <w:p>
      <w:pPr>
        <w:pStyle w:val="ListBullet"/>
      </w:pPr>
      <w:r>
        <w:rPr>
          <w:rFonts w:ascii="Arial" w:hAnsi="Arial"/>
        </w:rPr>
        <w:t>Communicate calmly, explain what is happening and reorient gently. Involve family or carers where helpful and acceptable to the person.</w:t>
      </w:r>
    </w:p>
    <w:p>
      <w:pPr>
        <w:pStyle w:val="ListBullet"/>
      </w:pPr>
      <w:r>
        <w:rPr>
          <w:rFonts w:ascii="Arial" w:hAnsi="Arial"/>
        </w:rPr>
        <w:t>Make glasses, hearing aids, dentures, communication aids and mobility aids available and usable.</w:t>
      </w:r>
    </w:p>
    <w:p>
      <w:pPr>
        <w:pStyle w:val="ListBullet"/>
      </w:pPr>
      <w:r>
        <w:rPr>
          <w:rFonts w:ascii="Arial" w:hAnsi="Arial"/>
        </w:rPr>
        <w:t>Support food, fluids, comfort, sleep, daytime activity and movement in line with the person's clinical plan. Reduce avoidable noise, disruption and moves.</w:t>
      </w:r>
    </w:p>
    <w:p>
      <w:pPr>
        <w:pStyle w:val="Heading2"/>
        <w:keepNext/>
      </w:pPr>
      <w:r>
        <w:t>Address distress and prevent complications</w:t>
      </w:r>
    </w:p>
    <w:p>
      <w:pPr>
        <w:pStyle w:val="ListBullet"/>
      </w:pPr>
      <w:r>
        <w:rPr>
          <w:rFonts w:ascii="Arial" w:hAnsi="Arial"/>
        </w:rPr>
        <w:t>Look for fear, hallucinations, pain, urinary retention, constipation, thirst or another unmet need. Distress may be hard to see in hypoactive delirium.</w:t>
      </w:r>
    </w:p>
    <w:p>
      <w:pPr>
        <w:pStyle w:val="ListBullet"/>
      </w:pPr>
      <w:r>
        <w:rPr>
          <w:rFonts w:ascii="Arial" w:hAnsi="Arial"/>
        </w:rPr>
        <w:t>Use verbal and non-verbal de-escalation first where possible. Any medicine decision requires individual assessment and current prescribing guidance.</w:t>
      </w:r>
    </w:p>
    <w:p>
      <w:pPr>
        <w:pStyle w:val="ListBullet"/>
      </w:pPr>
      <w:r>
        <w:rPr>
          <w:rFonts w:ascii="Arial" w:hAnsi="Arial"/>
        </w:rPr>
        <w:t>Prevent avoidable immobility, falls, pressure damage, dehydration, malnutrition and isolation. Begin suitable rehabilitation without waiting for cognition to be fully normal.</w:t>
      </w:r>
    </w:p>
    <w:p>
      <w:pPr>
        <w:pStyle w:val="Heading2"/>
        <w:keepNext/>
      </w:pPr>
      <w:r>
        <w:t>Review the whole plan</w:t>
      </w:r>
    </w:p>
    <w:p>
      <w:pPr>
        <w:pStyle w:val="ListBullet"/>
      </w:pPr>
      <w:r>
        <w:rPr>
          <w:rFonts w:ascii="Arial" w:hAnsi="Arial"/>
        </w:rPr>
        <w:t>Record the current formulation, actions, response, remaining uncertainty and escalation plan. Give every open clinical or supportive-care action a named owner and next review time. Reassess if the person deteriorates or does not improve as expected.</w:t>
      </w:r>
    </w:p>
    <w:p>
      <w:pPr>
        <w:pStyle w:val="ListBullet"/>
      </w:pPr>
      <w:r>
        <w:rPr>
          <w:rFonts w:ascii="Arial" w:hAnsi="Arial"/>
        </w:rPr>
        <w:t>Share the diagnosis and plan with the person, family or carers and the multidisciplinary team in understandable language.</w:t>
      </w:r>
    </w:p>
    <w:p>
      <w:pPr>
        <w:pStyle w:val="ListBullet"/>
      </w:pPr>
      <w:r>
        <w:rPr>
          <w:rFonts w:ascii="Arial" w:hAnsi="Arial"/>
        </w:rPr>
        <w:t>Monitor recovery. If delirium persists, re-evaluate possible causes and arrange appropriate follow-up.</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treat the person, not a checklist:</w:t>
      </w:r>
      <w:r>
        <w:rPr>
          <w:rFonts w:ascii="Arial" w:hAnsi="Arial"/>
          <w:color w:val="102A43"/>
          <w:sz w:val="21"/>
        </w:rPr>
        <w:t xml:space="preserve"> Do not delay urgent treatment while completing a cause sweep. Supportive care does not replace treatment of acute illness, and a medicine does not treat delirium's underlying causes. Escalate new instability, marked reduction in responsiveness or rapid deterioration through the setting's emergency pathway.</w:t>
      </w:r>
    </w:p>
    <w:p>
      <w:pPr>
        <w:pStyle w:val="Heading2"/>
        <w:keepNext/>
      </w:pPr>
      <w:r>
        <w:t>Verified official sources</w:t>
      </w:r>
    </w:p>
    <w:p>
      <w:pPr>
        <w:pStyle w:val="ListBullet"/>
        <w:spacing w:after="40"/>
      </w:pPr>
      <w:hyperlink r:id="rId11">
        <w:r>
          <w:rPr>
            <w:color w:val="244FC5"/>
            <w:u w:val="single"/>
          </w:rPr>
          <w:t>NICE CG103: recommendations</w:t>
        </w:r>
      </w:hyperlink>
    </w:p>
    <w:p>
      <w:pPr>
        <w:pStyle w:val="ListBullet"/>
        <w:spacing w:after="40"/>
      </w:pPr>
      <w:hyperlink r:id="rId12">
        <w:r>
          <w:rPr>
            <w:color w:val="244FC5"/>
            <w:u w:val="single"/>
          </w:rPr>
          <w:t>SIGN 157 on Right Decisions: non-pharmacological treatment</w:t>
        </w:r>
      </w:hyperlink>
    </w:p>
    <w:p>
      <w:pPr>
        <w:pStyle w:val="ListBullet"/>
        <w:spacing w:after="40"/>
      </w:pPr>
      <w:hyperlink r:id="rId13">
        <w:r>
          <w:rPr>
            <w:color w:val="244FC5"/>
            <w:u w:val="single"/>
          </w:rPr>
          <w:t>SIGN 157 on Right Decisions: non-pharmacological risk reduction</w:t>
        </w:r>
      </w:hyperlink>
    </w:p>
    <w:p>
      <w:pPr>
        <w:pStyle w:val="ListBullet"/>
        <w:spacing w:after="40"/>
      </w:pPr>
      <w:hyperlink r:id="rId14">
        <w:r>
          <w:rPr>
            <w:color w:val="244FC5"/>
            <w:u w:val="single"/>
          </w:rPr>
          <w:t>SIGN 157 on Right Decisions: medicines optimisation</w:t>
        </w:r>
      </w:hyperlink>
    </w:p>
    <w:p>
      <w:pPr>
        <w:pStyle w:val="ListBullet"/>
        <w:spacing w:after="40"/>
      </w:pPr>
      <w:hyperlink r:id="rId15">
        <w:r>
          <w:rPr>
            <w:color w:val="244FC5"/>
            <w:u w:val="single"/>
          </w:rPr>
          <w:t>NHS inform: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treatment/non-pharmacological-treatment/" TargetMode="External"/><Relationship Id="rId13" Type="http://schemas.openxmlformats.org/officeDocument/2006/relationships/hyperlink" Target="https://www.rightdecisions.scot.nhs.uk/risk-reduction-and-management-of-delirium-sign/risk-reduction/non-pharmacological-risk-reduction/" TargetMode="External"/><Relationship Id="rId14" Type="http://schemas.openxmlformats.org/officeDocument/2006/relationships/hyperlink" Target="https://www.rightdecisions.scot.nhs.uk/risk-reduction-and-management-of-delirium-sign/risk-reduction/pharmacological-risk-reduction/" TargetMode="External"/><Relationship Id="rId15" Type="http://schemas.openxmlformats.org/officeDocument/2006/relationships/hyperlink" Target="https://www.nhsinform.scot/illnesses-and-conditions/brain-nerves-and-spinal-cord/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Multidomain treatment of delirium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