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FFD9D4"/>
      </w:pPr>
      <w:r>
        <w:rPr>
          <w:rFonts w:ascii="Arial" w:hAnsi="Arial"/>
          <w:b/>
          <w:color w:val="102A43"/>
          <w:sz w:val="17"/>
        </w:rPr>
        <w:t>EDITABLE TEMPLATE  ·  CLINICAL REVIEW REQUIRED BEFORE USE</w:t>
      </w:r>
    </w:p>
    <w:p>
      <w:pPr>
        <w:spacing w:before="0" w:after="80"/>
      </w:pPr>
      <w:r>
        <w:rPr>
          <w:rFonts w:ascii="Georgia" w:hAnsi="Georgia"/>
          <w:b/>
          <w:color w:val="102A43"/>
          <w:sz w:val="46"/>
        </w:rPr>
        <w:t>Finding the possible triggers of delirium</w:t>
      </w:r>
    </w:p>
    <w:p>
      <w:pPr>
        <w:spacing w:after="200"/>
      </w:pPr>
      <w:r>
        <w:rPr>
          <w:rFonts w:ascii="Arial" w:hAnsi="Arial"/>
          <w:b/>
          <w:color w:val="4F77FF"/>
          <w:sz w:val="17"/>
        </w:rPr>
        <w:t>INTENDED USE: PATIENT &amp; FAMILY HANDOUT</w:t>
      </w:r>
    </w:p>
    <w:p>
      <w:pPr>
        <w:spacing w:after="240"/>
      </w:pPr>
      <w:r>
        <w:rPr>
          <w:rFonts w:ascii="Arial" w:hAnsi="Arial"/>
          <w:i/>
          <w:color w:val="334E68"/>
          <w:sz w:val="23"/>
        </w:rPr>
        <w:t>To explain why the team looks for one or more causes, and how families can help.</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Delirium is a sign, not the final diagnosis</w:t>
      </w:r>
    </w:p>
    <w:p>
      <w:r>
        <w:rPr>
          <w:rFonts w:ascii="Arial" w:hAnsi="Arial"/>
        </w:rPr>
        <w:t>There may be one cause or several causes acting together. A proper assessment considers the whole person. No single test tells the whole story.</w:t>
      </w:r>
    </w:p>
    <w:p>
      <w:pPr>
        <w:pStyle w:val="Heading2"/>
        <w:keepNext/>
      </w:pPr>
      <w:r>
        <w:t>Possible causes and contributing problems</w:t>
      </w:r>
    </w:p>
    <w:p>
      <w:pPr>
        <w:pStyle w:val="ListBullet"/>
      </w:pPr>
      <w:r>
        <w:rPr>
          <w:rFonts w:ascii="Arial" w:hAnsi="Arial"/>
        </w:rPr>
        <w:t>A new illness or infection, low oxygen, or a problem with blood sugar or body salts</w:t>
      </w:r>
    </w:p>
    <w:p>
      <w:pPr>
        <w:pStyle w:val="ListBullet"/>
      </w:pPr>
      <w:r>
        <w:rPr>
          <w:rFonts w:ascii="Arial" w:hAnsi="Arial"/>
        </w:rPr>
        <w:t>Pain, injury, an operation, constipation or difficulty passing urine</w:t>
      </w:r>
    </w:p>
    <w:p>
      <w:pPr>
        <w:pStyle w:val="ListBullet"/>
      </w:pPr>
      <w:r>
        <w:rPr>
          <w:rFonts w:ascii="Arial" w:hAnsi="Arial"/>
        </w:rPr>
        <w:t>Dehydration, poor food intake or another nutritional problem</w:t>
      </w:r>
    </w:p>
    <w:p>
      <w:pPr>
        <w:pStyle w:val="ListBullet"/>
      </w:pPr>
      <w:r>
        <w:rPr>
          <w:rFonts w:ascii="Arial" w:hAnsi="Arial"/>
        </w:rPr>
        <w:t>A medicine that has been started, stopped or changed, or withdrawal from alcohol or another substance</w:t>
      </w:r>
    </w:p>
    <w:p>
      <w:pPr>
        <w:pStyle w:val="ListBullet"/>
      </w:pPr>
      <w:r>
        <w:rPr>
          <w:rFonts w:ascii="Arial" w:hAnsi="Arial"/>
        </w:rPr>
        <w:t>Reduced mobility, disturbed sleep, an unfamiliar environment, or difficulty seeing or hearing</w:t>
      </w:r>
    </w:p>
    <w:p>
      <w:r>
        <w:rPr>
          <w:rFonts w:ascii="Arial" w:hAnsi="Arial"/>
        </w:rPr>
        <w:t>This list is not complete. The right tests depend on the person's symptoms, medical history and what the clinician finds.</w:t>
      </w:r>
    </w:p>
    <w:p>
      <w:pPr>
        <w:pStyle w:val="Heading2"/>
        <w:keepNext/>
      </w:pPr>
      <w:r>
        <w:t>Information families can provide</w:t>
      </w:r>
    </w:p>
    <w:p>
      <w:pPr>
        <w:pStyle w:val="ListBullet"/>
      </w:pPr>
      <w:r>
        <w:rPr>
          <w:rFonts w:ascii="Arial" w:hAnsi="Arial"/>
        </w:rPr>
        <w:t>What the person is normally like and exactly what has changed</w:t>
      </w:r>
    </w:p>
    <w:p>
      <w:pPr>
        <w:pStyle w:val="ListBullet"/>
      </w:pPr>
      <w:r>
        <w:rPr>
          <w:rFonts w:ascii="Arial" w:hAnsi="Arial"/>
        </w:rPr>
        <w:t>When the change was first noticed and whether it comes and goes</w:t>
      </w:r>
    </w:p>
    <w:p>
      <w:pPr>
        <w:pStyle w:val="ListBullet"/>
      </w:pPr>
      <w:r>
        <w:rPr>
          <w:rFonts w:ascii="Arial" w:hAnsi="Arial"/>
        </w:rPr>
        <w:t>Recent illness, falls, pain, procedures or changes in eating, drinking, bowels or passing urine</w:t>
      </w:r>
    </w:p>
    <w:p>
      <w:pPr>
        <w:pStyle w:val="ListBullet"/>
      </w:pPr>
      <w:r>
        <w:rPr>
          <w:rFonts w:ascii="Arial" w:hAnsi="Arial"/>
        </w:rPr>
        <w:t>A complete medicines list, including recent changes and medicines bought without a prescription</w:t>
      </w:r>
    </w:p>
    <w:p>
      <w:pPr>
        <w:pStyle w:val="ListBullet"/>
      </w:pPr>
      <w:r>
        <w:rPr>
          <w:rFonts w:ascii="Arial" w:hAnsi="Arial"/>
        </w:rPr>
        <w:t>Use of alcohol or other substances, and any glasses, hearing aids or dentures normally used</w:t>
      </w:r>
    </w:p>
    <w:p>
      <w:pPr>
        <w:pStyle w:val="Heading2"/>
        <w:keepNext/>
      </w:pPr>
      <w:r>
        <w:t>What to ask the clinical team</w:t>
      </w:r>
    </w:p>
    <w:p>
      <w:pPr>
        <w:pStyle w:val="ListBullet"/>
      </w:pPr>
      <w:r>
        <w:rPr>
          <w:rFonts w:ascii="Arial" w:hAnsi="Arial"/>
        </w:rPr>
        <w:t>What possible causes are being considered?</w:t>
      </w:r>
    </w:p>
    <w:p>
      <w:pPr>
        <w:pStyle w:val="ListBullet"/>
      </w:pPr>
      <w:r>
        <w:rPr>
          <w:rFonts w:ascii="Arial" w:hAnsi="Arial"/>
        </w:rPr>
        <w:t>What assessments or tests are needed for this person?</w:t>
      </w:r>
    </w:p>
    <w:p>
      <w:pPr>
        <w:pStyle w:val="ListBullet"/>
      </w:pPr>
      <w:r>
        <w:rPr>
          <w:rFonts w:ascii="Arial" w:hAnsi="Arial"/>
        </w:rPr>
        <w:t>Could more than one factor be involved?</w:t>
      </w:r>
    </w:p>
    <w:p>
      <w:pPr>
        <w:pStyle w:val="ListBullet"/>
      </w:pPr>
      <w:r>
        <w:rPr>
          <w:rFonts w:ascii="Arial" w:hAnsi="Arial"/>
        </w:rPr>
        <w:t>How will the team review whether treatment is working?</w:t>
      </w:r>
    </w:p>
    <w:p>
      <w:pPr>
        <w:spacing w:before="80" w:after="140"/>
        <w:ind w:left="120" w:right="120"/>
        <w:shd w:fill="FFD9D4"/>
        <w:pBdr>
          <w:top w:val="single" w:sz="10" w:space="5" w:color="102A43"/>
          <w:left w:val="single" w:sz="10" w:space="5" w:color="102A43"/>
          <w:bottom w:val="single" w:sz="10" w:space="5" w:color="102A43"/>
          <w:right w:val="single" w:sz="10" w:space="5" w:color="102A43"/>
        </w:pBdr>
      </w:pPr>
      <w:r>
        <w:rPr>
          <w:rFonts w:ascii="Arial" w:hAnsi="Arial"/>
          <w:b/>
          <w:color w:val="102A43"/>
          <w:sz w:val="21"/>
        </w:rPr>
        <w:t>Urgent action</w:t>
      </w:r>
      <w:r>
        <w:rPr>
          <w:rFonts w:ascii="Arial" w:hAnsi="Arial"/>
          <w:color w:val="102A43"/>
          <w:sz w:val="21"/>
        </w:rPr>
        <w:t xml:space="preserve"> Do not wait at home to work out the cause of new, sudden confusion. In the UK, call 999 or go to A&amp;E now. Do not drive yourself. If the person is already in hospital or a care home, alert staff immediately. Outside the UK, call your local emergency number or use your local emergency service.</w:t>
      </w:r>
    </w:p>
    <w:p>
      <w:pPr>
        <w:pStyle w:val="Heading2"/>
        <w:keepNext/>
      </w:pPr>
      <w:r>
        <w:t>Verified sources</w:t>
      </w:r>
    </w:p>
    <w:p>
      <w:pPr>
        <w:pStyle w:val="ListBullet"/>
        <w:spacing w:after="40"/>
      </w:pPr>
      <w:hyperlink r:id="rId11">
        <w:r>
          <w:rPr>
            <w:color w:val="244FC5"/>
            <w:u w:val="single"/>
          </w:rPr>
          <w:t>NHS: Causes of sudden confusion</w:t>
        </w:r>
      </w:hyperlink>
    </w:p>
    <w:p>
      <w:pPr>
        <w:pStyle w:val="ListBullet"/>
        <w:spacing w:after="40"/>
      </w:pPr>
      <w:hyperlink r:id="rId12">
        <w:r>
          <w:rPr>
            <w:color w:val="244FC5"/>
            <w:u w:val="single"/>
          </w:rPr>
          <w:t>NHS inform: Causes and treatment of delirium</w:t>
        </w:r>
      </w:hyperlink>
    </w:p>
    <w:p>
      <w:pPr>
        <w:pStyle w:val="ListBullet"/>
        <w:spacing w:after="40"/>
      </w:pPr>
      <w:hyperlink r:id="rId13">
        <w:r>
          <w:rPr>
            <w:color w:val="244FC5"/>
            <w:u w:val="single"/>
          </w:rPr>
          <w:t>NICE CG103: Treating delirium</w:t>
        </w:r>
      </w:hyperlink>
    </w:p>
    <w:p>
      <w:pPr>
        <w:pStyle w:val="ListBullet"/>
        <w:spacing w:after="40"/>
      </w:pPr>
      <w:hyperlink r:id="rId14">
        <w:r>
          <w:rPr>
            <w:color w:val="244FC5"/>
            <w:u w:val="single"/>
          </w:rPr>
          <w:t>SIGN 157: Risk reduction and management of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w:hAnsi="Arial"/>
      <w:color w:val="102A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Arial" w:hAnsi="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s.uk/symptoms/confusion/" TargetMode="External"/><Relationship Id="rId12" Type="http://schemas.openxmlformats.org/officeDocument/2006/relationships/hyperlink" Target="https://www.nhsinform.scot/illnesses-and-conditions/brain-nerves-and-spinal-cord/delirium" TargetMode="External"/><Relationship Id="rId13" Type="http://schemas.openxmlformats.org/officeDocument/2006/relationships/hyperlink" Target="https://www.nice.org.uk/guidance/cg103/chapter/Recommendations" TargetMode="External"/><Relationship Id="rId14" Type="http://schemas.openxmlformats.org/officeDocument/2006/relationships/hyperlink" Target="https://rightdecisions.scot.nhs.uk/media/1728/sign-guidelines-deliriu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Finding the possible triggers of delirium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