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Delirium and dementia: understanding the difference</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explain the usual patterns and make clear that a person can have both delirium and dementia.</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Delirium usually means a sudden change</w:t>
      </w:r>
    </w:p>
    <w:p>
      <w:pPr>
        <w:pStyle w:val="ListBullet"/>
      </w:pPr>
      <w:r>
        <w:rPr>
          <w:rFonts w:ascii="Arial" w:hAnsi="Arial"/>
        </w:rPr>
        <w:t>It develops over hours or days.</w:t>
      </w:r>
    </w:p>
    <w:p>
      <w:pPr>
        <w:pStyle w:val="ListBullet"/>
      </w:pPr>
      <w:r>
        <w:rPr>
          <w:rFonts w:ascii="Arial" w:hAnsi="Arial"/>
        </w:rPr>
        <w:t>Attention and awareness are often affected.</w:t>
      </w:r>
    </w:p>
    <w:p>
      <w:pPr>
        <w:pStyle w:val="ListBullet"/>
      </w:pPr>
      <w:r>
        <w:rPr>
          <w:rFonts w:ascii="Arial" w:hAnsi="Arial"/>
        </w:rPr>
        <w:t>Alertness may be unusually high or low.</w:t>
      </w:r>
    </w:p>
    <w:p>
      <w:pPr>
        <w:pStyle w:val="ListBullet"/>
      </w:pPr>
      <w:r>
        <w:rPr>
          <w:rFonts w:ascii="Arial" w:hAnsi="Arial"/>
        </w:rPr>
        <w:t>Symptoms can come and go, with clear changes during the same day.</w:t>
      </w:r>
    </w:p>
    <w:p>
      <w:pPr>
        <w:pStyle w:val="Heading2"/>
        <w:keepNext/>
      </w:pPr>
      <w:r>
        <w:t>Dementia usually develops more gradually</w:t>
      </w:r>
    </w:p>
    <w:p>
      <w:r>
        <w:rPr>
          <w:rFonts w:ascii="Arial" w:hAnsi="Arial"/>
        </w:rPr>
        <w:t>Dementia is a long-term condition that affects memory and thinking. It usually develops more slowly than delirium. However, people vary, so a checklist alone cannot safely tell the two apart.</w:t>
      </w:r>
    </w:p>
    <w:p>
      <w:pPr>
        <w:pStyle w:val="Heading2"/>
        <w:keepNext/>
      </w:pPr>
      <w:r>
        <w:t>A person can have both</w:t>
      </w:r>
    </w:p>
    <w:p>
      <w:r>
        <w:rPr>
          <w:rFonts w:ascii="Arial" w:hAnsi="Arial"/>
        </w:rPr>
        <w:t>Someone living with dementia can also develop delirium. The important clue is a new change from that person's usual abilities or behaviour. If it is difficult to tell delirium from dementia, NICE advises that delirium should be managed first.</w:t>
      </w:r>
    </w:p>
    <w:p>
      <w:pPr>
        <w:pStyle w:val="Heading2"/>
        <w:keepNext/>
      </w:pPr>
      <w:r>
        <w:t>What families can contribute</w:t>
      </w:r>
    </w:p>
    <w:p>
      <w:pPr>
        <w:pStyle w:val="ListBullet"/>
      </w:pPr>
      <w:r>
        <w:rPr>
          <w:rFonts w:ascii="Arial" w:hAnsi="Arial"/>
        </w:rPr>
        <w:t>Describe the person's usual memory, conversation, alertness and independence.</w:t>
      </w:r>
    </w:p>
    <w:p>
      <w:pPr>
        <w:pStyle w:val="ListBullet"/>
      </w:pPr>
      <w:r>
        <w:rPr>
          <w:rFonts w:ascii="Arial" w:hAnsi="Arial"/>
        </w:rPr>
        <w:t>Say exactly what is new and when it began.</w:t>
      </w:r>
    </w:p>
    <w:p>
      <w:pPr>
        <w:pStyle w:val="ListBullet"/>
      </w:pPr>
      <w:r>
        <w:rPr>
          <w:rFonts w:ascii="Arial" w:hAnsi="Arial"/>
        </w:rPr>
        <w:t>Mention whether the change comes and goes.</w:t>
      </w:r>
    </w:p>
    <w:p>
      <w:pPr>
        <w:pStyle w:val="ListBullet"/>
      </w:pPr>
      <w:r>
        <w:rPr>
          <w:rFonts w:ascii="Arial" w:hAnsi="Arial"/>
        </w:rPr>
        <w:t>Ask whether the person has been assessed for delirium and possible causes.</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Never assume that sudden worsening is simply dementia. In the UK, new, sudden confusion requires immediate help: call 999 or go to A&amp;E now, and do not drive yourself. If the person is already in hospital or a care home, tell staff immediately.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Sudden confusion (delirium)</w:t>
        </w:r>
      </w:hyperlink>
    </w:p>
    <w:p>
      <w:pPr>
        <w:pStyle w:val="ListBullet"/>
        <w:spacing w:after="40"/>
      </w:pPr>
      <w:hyperlink r:id="rId12">
        <w:r>
          <w:rPr>
            <w:color w:val="244FC5"/>
            <w:u w:val="single"/>
          </w:rPr>
          <w:t>NHS inform: Delirium and dementia</w:t>
        </w:r>
      </w:hyperlink>
    </w:p>
    <w:p>
      <w:pPr>
        <w:pStyle w:val="ListBullet"/>
        <w:spacing w:after="40"/>
      </w:pPr>
      <w:hyperlink r:id="rId13">
        <w:r>
          <w:rPr>
            <w:color w:val="244FC5"/>
            <w:u w:val="single"/>
          </w:rPr>
          <w:t>NICE CG103: Distinguishing delirium from dementia</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hsinform.scot/illnesses-and-conditions/brain-nerves-and-spinal-cord/delirium"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Delirium and dementia: understanding the difference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