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Care-home and community response to a new change</w:t>
      </w:r>
    </w:p>
    <w:p>
      <w:pPr>
        <w:spacing w:after="200"/>
      </w:pPr>
      <w:r>
        <w:rPr>
          <w:rFonts w:ascii="Arial" w:hAnsi="Arial"/>
          <w:b/>
          <w:color w:val="4F77FF"/>
          <w:sz w:val="17"/>
        </w:rPr>
        <w:t>INTENDED USE: COMMUNITY &amp; CARE-HOME TEAMS</w:t>
      </w:r>
    </w:p>
    <w:p>
      <w:pPr>
        <w:spacing w:after="240"/>
      </w:pPr>
      <w:r>
        <w:rPr>
          <w:rFonts w:ascii="Arial" w:hAnsi="Arial"/>
          <w:i/>
          <w:color w:val="334E68"/>
          <w:sz w:val="23"/>
        </w:rPr>
        <w:t>Help care-home, care-at-home and community staff recognise a possible delirium, obtain timely clinical assessment and provide safe supportive care while the cause is being assessed and treated.</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Confirm that something has changed</w:t>
      </w:r>
    </w:p>
    <w:p>
      <w:pPr>
        <w:pStyle w:val="ListBullet"/>
      </w:pPr>
      <w:r>
        <w:rPr>
          <w:rFonts w:ascii="Arial" w:hAnsi="Arial"/>
        </w:rPr>
        <w:t>Compare alertness, attention, thinking, perception, behaviour, mobility, eating and drinking with the person's usual state.</w:t>
      </w:r>
    </w:p>
    <w:p>
      <w:pPr>
        <w:pStyle w:val="ListBullet"/>
      </w:pPr>
      <w:r>
        <w:rPr>
          <w:rFonts w:ascii="Arial" w:hAnsi="Arial"/>
        </w:rPr>
        <w:t>Ask when the change began and whether it has fluctuated. Include quiet changes such as withdrawal, slow responses and reduced movement.</w:t>
      </w:r>
    </w:p>
    <w:p>
      <w:pPr>
        <w:pStyle w:val="ListBullet"/>
      </w:pPr>
      <w:r>
        <w:rPr>
          <w:rFonts w:ascii="Arial" w:hAnsi="Arial"/>
        </w:rPr>
        <w:t>Seek observations from family, carers and staff who know the person well. Record what they report and the source of the baseline.</w:t>
      </w:r>
    </w:p>
    <w:p>
      <w:pPr>
        <w:pStyle w:val="Heading2"/>
        <w:keepNext/>
      </w:pPr>
      <w:r>
        <w:t>Treat sudden confusion as urgent</w:t>
      </w:r>
    </w:p>
    <w:p>
      <w:pPr>
        <w:pStyle w:val="ListBullet"/>
      </w:pPr>
      <w:r>
        <w:rPr>
          <w:rFonts w:ascii="Arial" w:hAnsi="Arial"/>
        </w:rPr>
        <w:t>Assess the immediate clinical state within the staff member's competence and follow the setting's emergency pathway without delay.</w:t>
      </w:r>
    </w:p>
    <w:p>
      <w:pPr>
        <w:pStyle w:val="ListBullet"/>
      </w:pPr>
      <w:r>
        <w:rPr>
          <w:rFonts w:ascii="Arial" w:hAnsi="Arial"/>
        </w:rPr>
        <w:t>Seek immediate medical help for sudden confusion. Escalate severe deterioration, difficulty rousing, acute instability or immediate danger to emergency services as required.</w:t>
      </w:r>
    </w:p>
    <w:p>
      <w:pPr>
        <w:pStyle w:val="ListBullet"/>
      </w:pPr>
      <w:r>
        <w:rPr>
          <w:rFonts w:ascii="Arial" w:hAnsi="Arial"/>
        </w:rPr>
        <w:t>Do not assume the change is dementia progression, a urinary infection, ageing or "behaviour" without clinical assessment.</w:t>
      </w:r>
    </w:p>
    <w:p>
      <w:pPr>
        <w:pStyle w:val="Heading2"/>
        <w:keepNext/>
      </w:pPr>
      <w:r>
        <w:t>Support assessment and handover</w:t>
      </w:r>
    </w:p>
    <w:p>
      <w:pPr>
        <w:pStyle w:val="ListBullet"/>
      </w:pPr>
      <w:r>
        <w:rPr>
          <w:rFonts w:ascii="Arial" w:hAnsi="Arial"/>
        </w:rPr>
        <w:t>If competent to do so and this fits the local pathway, use the 4AT when delirium is suspected. A concerning score prompts clinical assessment; it is not the final diagnosis.</w:t>
      </w:r>
    </w:p>
    <w:p>
      <w:pPr>
        <w:pStyle w:val="ListBullet"/>
      </w:pPr>
      <w:r>
        <w:rPr>
          <w:rFonts w:ascii="Arial" w:hAnsi="Arial"/>
        </w:rPr>
        <w:t>Prepare a concise handover: usual baseline, time course, fluctuation, observations, recent illness or injury, falls, pain, food and fluid intake, bladder and bowel changes, and recent medicine changes or missed doses.</w:t>
      </w:r>
    </w:p>
    <w:p>
      <w:pPr>
        <w:pStyle w:val="ListBullet"/>
      </w:pPr>
      <w:r>
        <w:rPr>
          <w:rFonts w:ascii="Arial" w:hAnsi="Arial"/>
        </w:rPr>
        <w:t>Have the current medicine record and relevant care information available. State what has already been tried and whether it helped.</w:t>
      </w:r>
    </w:p>
    <w:p>
      <w:pPr>
        <w:pStyle w:val="Heading2"/>
        <w:keepNext/>
      </w:pPr>
      <w:r>
        <w:t>Provide supportive care while help is arranged</w:t>
      </w:r>
    </w:p>
    <w:p>
      <w:pPr>
        <w:pStyle w:val="ListBullet"/>
      </w:pPr>
      <w:r>
        <w:rPr>
          <w:rFonts w:ascii="Arial" w:hAnsi="Arial"/>
        </w:rPr>
        <w:t>Stay with the person when needed, approach calmly, use short sentences and offer repeated reassurance.</w:t>
      </w:r>
    </w:p>
    <w:p>
      <w:pPr>
        <w:pStyle w:val="ListBullet"/>
      </w:pPr>
      <w:r>
        <w:rPr>
          <w:rFonts w:ascii="Arial" w:hAnsi="Arial"/>
        </w:rPr>
        <w:t>Make glasses, hearing aids and familiar orientation cues available. Reduce avoidable noise and unfamiliar demands.</w:t>
      </w:r>
    </w:p>
    <w:p>
      <w:pPr>
        <w:pStyle w:val="ListBullet"/>
      </w:pPr>
      <w:r>
        <w:rPr>
          <w:rFonts w:ascii="Arial" w:hAnsi="Arial"/>
        </w:rPr>
        <w:t>Address comfort, food, fluids, toileting and safe movement within the person's current care plan and level of assistance.</w:t>
      </w:r>
    </w:p>
    <w:p>
      <w:pPr>
        <w:pStyle w:val="Heading2"/>
        <w:keepNext/>
      </w:pPr>
      <w:r>
        <w:t>Continue the plan after the first contact</w:t>
      </w:r>
    </w:p>
    <w:p>
      <w:pPr>
        <w:pStyle w:val="ListBullet"/>
      </w:pPr>
      <w:r>
        <w:rPr>
          <w:rFonts w:ascii="Arial" w:hAnsi="Arial"/>
        </w:rPr>
        <w:t>Record the clinical advice, who is responsible for each action, the escalation plan and when the person will be reviewed.</w:t>
      </w:r>
    </w:p>
    <w:p>
      <w:pPr>
        <w:pStyle w:val="ListBullet"/>
      </w:pPr>
      <w:r>
        <w:rPr>
          <w:rFonts w:ascii="Arial" w:hAnsi="Arial"/>
        </w:rPr>
        <w:t>Observe for further change and report deterioration promptly. Do not let an apparently clearer period close the assessment when the history is strongly fluctuating.</w:t>
      </w:r>
    </w:p>
    <w:p>
      <w:pPr>
        <w:pStyle w:val="ListBullet"/>
      </w:pPr>
      <w:r>
        <w:rPr>
          <w:rFonts w:ascii="Arial" w:hAnsi="Arial"/>
        </w:rPr>
        <w:t>If delirium is diagnosed, communicate it across shifts, services and transfers. Monitor recovery and make follow-up responsibilities explicit if symptoms or functional change persist.</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familiarity must not delay escalation:</w:t>
      </w:r>
      <w:r>
        <w:rPr>
          <w:rFonts w:ascii="Arial" w:hAnsi="Arial"/>
          <w:color w:val="102A43"/>
          <w:sz w:val="21"/>
        </w:rPr>
        <w:t xml:space="preserve"> NHS advice is to get medical help immediately when someone suddenly becomes confused. Follow the local emergency pathway and do not wait for a routine visit. A familiar environment may support the person, but any decision to remain in place or transfer requires clinical assessment of the whole situation.</w:t>
      </w:r>
    </w:p>
    <w:p>
      <w:pPr>
        <w:pStyle w:val="Heading2"/>
        <w:keepNext/>
      </w:pPr>
      <w:r>
        <w:t>Verified official sources</w:t>
      </w:r>
    </w:p>
    <w:p>
      <w:pPr>
        <w:pStyle w:val="ListBullet"/>
        <w:spacing w:after="40"/>
      </w:pPr>
      <w:hyperlink r:id="rId11">
        <w:r>
          <w:rPr>
            <w:color w:val="244FC5"/>
            <w:u w:val="single"/>
          </w:rPr>
          <w:t>NHS: sudden confusion and immediate action</w:t>
        </w:r>
      </w:hyperlink>
    </w:p>
    <w:p>
      <w:pPr>
        <w:pStyle w:val="ListBullet"/>
        <w:spacing w:after="40"/>
      </w:pPr>
      <w:hyperlink r:id="rId12">
        <w:r>
          <w:rPr>
            <w:color w:val="244FC5"/>
            <w:u w:val="single"/>
          </w:rPr>
          <w:t>NICE CG103: hospital and long-term care recommendations</w:t>
        </w:r>
      </w:hyperlink>
    </w:p>
    <w:p>
      <w:pPr>
        <w:pStyle w:val="ListBullet"/>
        <w:spacing w:after="40"/>
      </w:pPr>
      <w:hyperlink r:id="rId13">
        <w:r>
          <w:rPr>
            <w:color w:val="244FC5"/>
            <w:u w:val="single"/>
          </w:rPr>
          <w:t>Official 4AT user guide</w:t>
        </w:r>
      </w:hyperlink>
    </w:p>
    <w:p>
      <w:pPr>
        <w:pStyle w:val="ListBullet"/>
        <w:spacing w:after="40"/>
      </w:pPr>
      <w:hyperlink r:id="rId14">
        <w:r>
          <w:rPr>
            <w:color w:val="244FC5"/>
            <w:u w:val="single"/>
          </w:rPr>
          <w:t>SIGN 157 on Right Decisions: purpose and audience across care settings</w:t>
        </w:r>
      </w:hyperlink>
    </w:p>
    <w:p>
      <w:pPr>
        <w:pStyle w:val="ListBullet"/>
        <w:spacing w:after="40"/>
      </w:pPr>
      <w:hyperlink r:id="rId15">
        <w:r>
          <w:rPr>
            <w:color w:val="244FC5"/>
            <w:u w:val="single"/>
          </w:rPr>
          <w:t>SIGN 157 on Right Decisions: non-pharmacological treatment</w:t>
        </w:r>
      </w:hyperlink>
    </w:p>
    <w:p>
      <w:pPr>
        <w:pStyle w:val="ListBullet"/>
        <w:spacing w:after="40"/>
      </w:pPr>
      <w:hyperlink r:id="rId16">
        <w:r>
          <w:rPr>
            <w:color w:val="244FC5"/>
            <w:u w:val="single"/>
          </w:rPr>
          <w:t>NHS inform: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hs.uk/symptoms/confusion/" TargetMode="External"/><Relationship Id="rId12" Type="http://schemas.openxmlformats.org/officeDocument/2006/relationships/hyperlink" Target="https://www.nice.org.uk/guidance/cg103/chapter/Recommendations" TargetMode="External"/><Relationship Id="rId13" Type="http://schemas.openxmlformats.org/officeDocument/2006/relationships/hyperlink" Target="https://www.the4at.com/userguide" TargetMode="External"/><Relationship Id="rId14" Type="http://schemas.openxmlformats.org/officeDocument/2006/relationships/hyperlink" Target="https://www.rightdecisions.scot.nhs.uk/risk-reduction-and-management-of-delirium-sign/about-feedback/about-this-toolkit/" TargetMode="External"/><Relationship Id="rId15" Type="http://schemas.openxmlformats.org/officeDocument/2006/relationships/hyperlink" Target="https://www.rightdecisions.scot.nhs.uk/risk-reduction-and-management-of-delirium-sign/treatment/non-pharmacological-treatment/" TargetMode="External"/><Relationship Id="rId16" Type="http://schemas.openxmlformats.org/officeDocument/2006/relationships/hyperlink" Target="https://www.nhsinform.scot/illnesses-and-conditions/brain-nerves-and-spinal-cord/deli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Care-home and community response to a new change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